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7B" w:rsidRDefault="00F7263B">
      <w:pPr>
        <w:spacing w:before="294"/>
        <w:ind w:left="5657" w:right="-200"/>
        <w:jc w:val="both"/>
      </w:pPr>
      <w:r>
        <w:rPr>
          <w:noProof/>
          <w:lang w:val="hr-HR" w:eastAsia="hr-HR"/>
        </w:rPr>
        <w:drawing>
          <wp:inline distT="0" distB="0" distL="0" distR="0">
            <wp:extent cx="933450" cy="1038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8E" w:rsidRDefault="00F973B9" w:rsidP="003A0DCE">
      <w:pPr>
        <w:ind w:right="-20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32"/>
          <w:szCs w:val="32"/>
        </w:rPr>
        <w:t xml:space="preserve">                       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IZMJENE I DOPUNE P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RORAČUN</w:t>
      </w:r>
      <w:r w:rsidR="003A3C0C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GRADA SLATINE </w:t>
      </w:r>
    </w:p>
    <w:p w:rsidR="007478BE" w:rsidRDefault="0019238E" w:rsidP="003A0DCE">
      <w:pPr>
        <w:ind w:right="-20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361276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202</w:t>
      </w:r>
      <w:r w:rsidR="00C34608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73B9" w:rsidRPr="00F973B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GODINU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61A7B" w:rsidRDefault="004C4226" w:rsidP="007478BE">
      <w:pPr>
        <w:spacing w:before="294"/>
        <w:ind w:right="-200"/>
        <w:jc w:val="center"/>
      </w:pPr>
      <w:r w:rsidRPr="004C4226">
        <w:rPr>
          <w:noProof/>
          <w:lang w:val="hr-HR" w:eastAsia="hr-HR"/>
        </w:rPr>
        <w:drawing>
          <wp:inline distT="0" distB="0" distL="0" distR="0">
            <wp:extent cx="7610475" cy="2657475"/>
            <wp:effectExtent l="0" t="0" r="9525" b="9525"/>
            <wp:docPr id="9" name="Slika 9" descr="C:\Users\Mila Margaretić\Documents\VODIČI ZA GRAĐANE\PRORAČUNSKI VODIČ ZA GRAĐANE 2024\Fotografije\IMG_20200528_16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la Margaretić\Documents\VODIČI ZA GRAĐANE\PRORAČUNSKI VODIČ ZA GRAĐANE 2024\Fotografije\IMG_20200528_1639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50" cy="26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226" w:rsidRDefault="004C4226" w:rsidP="007478BE">
      <w:pPr>
        <w:spacing w:before="294"/>
        <w:ind w:right="-200"/>
        <w:jc w:val="center"/>
      </w:pPr>
    </w:p>
    <w:p w:rsidR="007478BE" w:rsidRPr="00921159" w:rsidRDefault="007478BE" w:rsidP="007478BE">
      <w:pPr>
        <w:spacing w:before="294"/>
        <w:ind w:right="-200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A0DCE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ODIČ ZA GRAĐANE</w:t>
      </w:r>
      <w:r w:rsidR="006F1F86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GRADA SLATINE</w:t>
      </w:r>
      <w:r w:rsidRPr="00921159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B05846" w:rsidRDefault="004B16F2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ab/>
      </w:r>
    </w:p>
    <w:p w:rsidR="005364B1" w:rsidRDefault="005364B1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516286" w:rsidRDefault="007763CB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</w:rPr>
        <w:t>Prvim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izmjenama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dopunama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proračuna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za</w:t>
      </w:r>
      <w:proofErr w:type="spellEnd"/>
      <w:r>
        <w:rPr>
          <w:rFonts w:eastAsia="Arial"/>
          <w:color w:val="000000"/>
        </w:rPr>
        <w:t xml:space="preserve"> 2024. </w:t>
      </w:r>
      <w:proofErr w:type="spellStart"/>
      <w:proofErr w:type="gramStart"/>
      <w:r w:rsidR="00A975DC">
        <w:rPr>
          <w:rFonts w:eastAsia="Arial"/>
          <w:color w:val="000000"/>
        </w:rPr>
        <w:t>g</w:t>
      </w:r>
      <w:r>
        <w:rPr>
          <w:rFonts w:eastAsia="Arial"/>
          <w:color w:val="000000"/>
        </w:rPr>
        <w:t>odinu</w:t>
      </w:r>
      <w:proofErr w:type="spellEnd"/>
      <w:proofErr w:type="gram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ukupni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prihodi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 w:rsidR="00A975DC">
        <w:rPr>
          <w:rFonts w:eastAsia="Arial"/>
          <w:color w:val="000000"/>
        </w:rPr>
        <w:t>i</w:t>
      </w:r>
      <w:proofErr w:type="spellEnd"/>
      <w:r w:rsidR="00A975DC"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primici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Proračuna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Grada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Slatine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iznose</w:t>
      </w:r>
      <w:proofErr w:type="spellEnd"/>
      <w:r>
        <w:rPr>
          <w:rFonts w:eastAsia="Arial"/>
          <w:color w:val="000000"/>
        </w:rPr>
        <w:t xml:space="preserve"> </w:t>
      </w:r>
      <w:r w:rsidR="00B05846">
        <w:rPr>
          <w:rFonts w:eastAsia="Arial"/>
          <w:color w:val="000000"/>
        </w:rPr>
        <w:t>24.706</w:t>
      </w:r>
      <w:r w:rsidR="0075244F">
        <w:rPr>
          <w:rFonts w:eastAsia="Arial"/>
          <w:color w:val="000000"/>
        </w:rPr>
        <w:t>.</w:t>
      </w:r>
      <w:r w:rsidR="00B05846">
        <w:rPr>
          <w:rFonts w:eastAsia="Arial"/>
          <w:color w:val="000000"/>
        </w:rPr>
        <w:t>959,55 EUR</w:t>
      </w:r>
      <w:r w:rsidR="00516286">
        <w:rPr>
          <w:rFonts w:eastAsia="Arial"/>
          <w:color w:val="000000"/>
        </w:rPr>
        <w:t xml:space="preserve">, </w:t>
      </w:r>
      <w:proofErr w:type="spellStart"/>
      <w:r w:rsidR="00516286">
        <w:rPr>
          <w:rFonts w:eastAsia="Arial"/>
          <w:color w:val="000000"/>
        </w:rPr>
        <w:t>što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predstavlja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povećanje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za</w:t>
      </w:r>
      <w:proofErr w:type="spellEnd"/>
      <w:r w:rsidR="00516286">
        <w:rPr>
          <w:rFonts w:eastAsia="Arial"/>
          <w:color w:val="000000"/>
        </w:rPr>
        <w:t xml:space="preserve"> 4.929.953,18 EUR, </w:t>
      </w:r>
      <w:proofErr w:type="spellStart"/>
      <w:r w:rsidR="00516286">
        <w:rPr>
          <w:rFonts w:eastAsia="Arial"/>
          <w:color w:val="000000"/>
        </w:rPr>
        <w:t>odnsono</w:t>
      </w:r>
      <w:proofErr w:type="spellEnd"/>
      <w:r w:rsidR="00516286">
        <w:rPr>
          <w:rFonts w:eastAsia="Arial"/>
          <w:color w:val="000000"/>
        </w:rPr>
        <w:t xml:space="preserve"> 24,93% u </w:t>
      </w:r>
      <w:proofErr w:type="spellStart"/>
      <w:r w:rsidR="00516286">
        <w:rPr>
          <w:rFonts w:eastAsia="Arial"/>
          <w:color w:val="000000"/>
        </w:rPr>
        <w:t>odnosu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na</w:t>
      </w:r>
      <w:proofErr w:type="spellEnd"/>
      <w:r w:rsidR="00516286">
        <w:rPr>
          <w:rFonts w:eastAsia="Arial"/>
          <w:color w:val="000000"/>
        </w:rPr>
        <w:t xml:space="preserve"> </w:t>
      </w:r>
      <w:proofErr w:type="spellStart"/>
      <w:r w:rsidR="00516286">
        <w:rPr>
          <w:rFonts w:eastAsia="Arial"/>
          <w:color w:val="000000"/>
        </w:rPr>
        <w:t>početni</w:t>
      </w:r>
      <w:proofErr w:type="spellEnd"/>
      <w:r w:rsidR="00516286">
        <w:rPr>
          <w:rFonts w:eastAsia="Arial"/>
          <w:color w:val="000000"/>
        </w:rPr>
        <w:t xml:space="preserve"> plan </w:t>
      </w:r>
      <w:proofErr w:type="spellStart"/>
      <w:r w:rsidR="00516286">
        <w:rPr>
          <w:rFonts w:eastAsia="Arial"/>
          <w:color w:val="000000"/>
        </w:rPr>
        <w:t>za</w:t>
      </w:r>
      <w:proofErr w:type="spellEnd"/>
      <w:r w:rsidR="00516286">
        <w:rPr>
          <w:rFonts w:eastAsia="Arial"/>
          <w:color w:val="000000"/>
        </w:rPr>
        <w:t xml:space="preserve"> 2024. </w:t>
      </w:r>
      <w:proofErr w:type="spellStart"/>
      <w:proofErr w:type="gramStart"/>
      <w:r w:rsidR="00516286">
        <w:rPr>
          <w:rFonts w:eastAsia="Arial"/>
          <w:color w:val="000000"/>
        </w:rPr>
        <w:t>godinu</w:t>
      </w:r>
      <w:proofErr w:type="spellEnd"/>
      <w:proofErr w:type="gramEnd"/>
      <w:r w:rsidR="00516286">
        <w:rPr>
          <w:rFonts w:eastAsia="Arial"/>
          <w:color w:val="000000"/>
        </w:rPr>
        <w:t xml:space="preserve">. </w:t>
      </w:r>
    </w:p>
    <w:p w:rsidR="00516286" w:rsidRDefault="00516286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8E6A5A" w:rsidRDefault="008E6A5A" w:rsidP="00EB0F1B">
      <w:pPr>
        <w:spacing w:line="447" w:lineRule="exact"/>
        <w:ind w:right="-200"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</w:rPr>
        <w:t>Ukupni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rashodi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izdaci</w:t>
      </w:r>
      <w:proofErr w:type="spellEnd"/>
      <w:r>
        <w:rPr>
          <w:rFonts w:eastAsia="Arial"/>
          <w:color w:val="000000"/>
        </w:rPr>
        <w:t xml:space="preserve"> se </w:t>
      </w:r>
      <w:proofErr w:type="spellStart"/>
      <w:r>
        <w:rPr>
          <w:rFonts w:eastAsia="Arial"/>
          <w:color w:val="000000"/>
        </w:rPr>
        <w:t>planiraju</w:t>
      </w:r>
      <w:proofErr w:type="spellEnd"/>
      <w:r>
        <w:rPr>
          <w:rFonts w:eastAsia="Arial"/>
          <w:color w:val="000000"/>
        </w:rPr>
        <w:t xml:space="preserve"> u </w:t>
      </w:r>
      <w:proofErr w:type="spellStart"/>
      <w:r>
        <w:rPr>
          <w:rFonts w:eastAsia="Arial"/>
          <w:color w:val="000000"/>
        </w:rPr>
        <w:t>iznosu</w:t>
      </w:r>
      <w:proofErr w:type="spellEnd"/>
      <w:r>
        <w:rPr>
          <w:rFonts w:eastAsia="Arial"/>
          <w:color w:val="000000"/>
        </w:rPr>
        <w:t xml:space="preserve"> 24.364.089,87 EUR, </w:t>
      </w:r>
      <w:proofErr w:type="spellStart"/>
      <w:r>
        <w:rPr>
          <w:rFonts w:eastAsia="Arial"/>
          <w:color w:val="000000"/>
        </w:rPr>
        <w:t>što</w:t>
      </w:r>
      <w:proofErr w:type="spellEnd"/>
      <w:r>
        <w:rPr>
          <w:rFonts w:eastAsia="Arial"/>
          <w:color w:val="000000"/>
        </w:rPr>
        <w:t xml:space="preserve"> je </w:t>
      </w:r>
      <w:proofErr w:type="spellStart"/>
      <w:r>
        <w:rPr>
          <w:rFonts w:eastAsia="Arial"/>
          <w:color w:val="000000"/>
        </w:rPr>
        <w:t>povećanje</w:t>
      </w:r>
      <w:proofErr w:type="spellEnd"/>
      <w:r>
        <w:rPr>
          <w:rFonts w:eastAsia="Arial"/>
          <w:color w:val="000000"/>
        </w:rPr>
        <w:t xml:space="preserve"> od 4.168.</w:t>
      </w:r>
      <w:r w:rsidR="009E4FB3">
        <w:rPr>
          <w:rFonts w:eastAsia="Arial"/>
          <w:color w:val="000000"/>
        </w:rPr>
        <w:t xml:space="preserve">517,31 EUR, </w:t>
      </w:r>
      <w:proofErr w:type="spellStart"/>
      <w:r w:rsidR="009E4FB3">
        <w:rPr>
          <w:rFonts w:eastAsia="Arial"/>
          <w:color w:val="000000"/>
        </w:rPr>
        <w:t>odnsono</w:t>
      </w:r>
      <w:proofErr w:type="spellEnd"/>
      <w:r w:rsidR="009E4FB3">
        <w:rPr>
          <w:rFonts w:eastAsia="Arial"/>
          <w:color w:val="000000"/>
        </w:rPr>
        <w:t xml:space="preserve"> 20,6% u </w:t>
      </w:r>
      <w:proofErr w:type="spellStart"/>
      <w:r w:rsidR="009E4FB3">
        <w:rPr>
          <w:rFonts w:eastAsia="Arial"/>
          <w:color w:val="000000"/>
        </w:rPr>
        <w:t>odn</w:t>
      </w:r>
      <w:r>
        <w:rPr>
          <w:rFonts w:eastAsia="Arial"/>
          <w:color w:val="000000"/>
        </w:rPr>
        <w:t>osu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na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>
        <w:rPr>
          <w:rFonts w:eastAsia="Arial"/>
          <w:color w:val="000000"/>
        </w:rPr>
        <w:t>dosadašnji</w:t>
      </w:r>
      <w:proofErr w:type="spellEnd"/>
      <w:r>
        <w:rPr>
          <w:rFonts w:eastAsia="Arial"/>
          <w:color w:val="000000"/>
        </w:rPr>
        <w:t xml:space="preserve"> </w:t>
      </w:r>
      <w:proofErr w:type="spellStart"/>
      <w:r w:rsidR="009E4FB3">
        <w:rPr>
          <w:rFonts w:eastAsia="Arial"/>
          <w:color w:val="000000"/>
        </w:rPr>
        <w:t>usvojeni</w:t>
      </w:r>
      <w:proofErr w:type="spellEnd"/>
      <w:r w:rsidR="009E4FB3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plan</w:t>
      </w:r>
      <w:r w:rsidR="009E4FB3">
        <w:rPr>
          <w:rFonts w:eastAsia="Arial"/>
          <w:color w:val="000000"/>
        </w:rPr>
        <w:t xml:space="preserve"> u </w:t>
      </w:r>
      <w:proofErr w:type="spellStart"/>
      <w:r w:rsidR="009E4FB3">
        <w:rPr>
          <w:rFonts w:eastAsia="Arial"/>
          <w:color w:val="000000"/>
        </w:rPr>
        <w:t>koji</w:t>
      </w:r>
      <w:proofErr w:type="spellEnd"/>
      <w:r w:rsidR="009E4FB3">
        <w:rPr>
          <w:rFonts w:eastAsia="Arial"/>
          <w:color w:val="000000"/>
        </w:rPr>
        <w:t xml:space="preserve"> </w:t>
      </w:r>
      <w:proofErr w:type="spellStart"/>
      <w:r w:rsidR="009E4FB3">
        <w:rPr>
          <w:rFonts w:eastAsia="Arial"/>
          <w:color w:val="000000"/>
        </w:rPr>
        <w:t>su</w:t>
      </w:r>
      <w:proofErr w:type="spellEnd"/>
      <w:r w:rsidR="009E4FB3">
        <w:rPr>
          <w:rFonts w:eastAsia="Arial"/>
          <w:color w:val="000000"/>
        </w:rPr>
        <w:t xml:space="preserve"> </w:t>
      </w:r>
      <w:proofErr w:type="spellStart"/>
      <w:r w:rsidR="009E4FB3">
        <w:rPr>
          <w:rFonts w:eastAsia="Arial"/>
          <w:color w:val="000000"/>
        </w:rPr>
        <w:t>uključene</w:t>
      </w:r>
      <w:proofErr w:type="spellEnd"/>
      <w:r w:rsidR="009E4FB3">
        <w:rPr>
          <w:rFonts w:eastAsia="Arial"/>
          <w:color w:val="000000"/>
        </w:rPr>
        <w:t xml:space="preserve"> </w:t>
      </w:r>
      <w:proofErr w:type="spellStart"/>
      <w:r w:rsidR="009E4FB3">
        <w:rPr>
          <w:rFonts w:eastAsia="Arial"/>
          <w:color w:val="000000"/>
        </w:rPr>
        <w:t>dvije</w:t>
      </w:r>
      <w:proofErr w:type="spellEnd"/>
      <w:r w:rsidR="009E4FB3">
        <w:rPr>
          <w:rFonts w:eastAsia="Arial"/>
          <w:color w:val="000000"/>
        </w:rPr>
        <w:t xml:space="preserve"> </w:t>
      </w:r>
      <w:proofErr w:type="spellStart"/>
      <w:r w:rsidR="009E4FB3" w:rsidRPr="00A71F4F">
        <w:rPr>
          <w:bCs/>
        </w:rPr>
        <w:t>preraspodjele</w:t>
      </w:r>
      <w:proofErr w:type="spellEnd"/>
      <w:r w:rsidR="009E4FB3" w:rsidRPr="00A71F4F">
        <w:rPr>
          <w:bCs/>
        </w:rPr>
        <w:t xml:space="preserve"> </w:t>
      </w:r>
      <w:proofErr w:type="spellStart"/>
      <w:r w:rsidR="009E4FB3" w:rsidRPr="00A71F4F">
        <w:rPr>
          <w:bCs/>
        </w:rPr>
        <w:t>sredstava</w:t>
      </w:r>
      <w:proofErr w:type="spellEnd"/>
      <w:r w:rsidR="009E4FB3" w:rsidRPr="00A71F4F">
        <w:rPr>
          <w:bCs/>
        </w:rPr>
        <w:t xml:space="preserve"> </w:t>
      </w:r>
      <w:proofErr w:type="spellStart"/>
      <w:r w:rsidR="009E4FB3" w:rsidRPr="00A71F4F">
        <w:rPr>
          <w:bCs/>
        </w:rPr>
        <w:t>za</w:t>
      </w:r>
      <w:proofErr w:type="spellEnd"/>
      <w:r w:rsidR="009E4FB3" w:rsidRPr="00A71F4F">
        <w:rPr>
          <w:bCs/>
        </w:rPr>
        <w:t xml:space="preserve"> 2024</w:t>
      </w:r>
      <w:r w:rsidR="009E4FB3">
        <w:rPr>
          <w:bCs/>
        </w:rPr>
        <w:t>.</w:t>
      </w:r>
      <w:r w:rsidR="009E4FB3" w:rsidRPr="00A71F4F">
        <w:rPr>
          <w:bCs/>
        </w:rPr>
        <w:t xml:space="preserve"> </w:t>
      </w:r>
      <w:proofErr w:type="spellStart"/>
      <w:proofErr w:type="gramStart"/>
      <w:r w:rsidR="009E4FB3" w:rsidRPr="00A71F4F">
        <w:rPr>
          <w:bCs/>
        </w:rPr>
        <w:t>godinu</w:t>
      </w:r>
      <w:proofErr w:type="spellEnd"/>
      <w:proofErr w:type="gramEnd"/>
      <w:r>
        <w:rPr>
          <w:rFonts w:eastAsia="Arial"/>
          <w:color w:val="000000"/>
        </w:rPr>
        <w:t>.</w:t>
      </w:r>
    </w:p>
    <w:p w:rsidR="008E6A5A" w:rsidRDefault="008E6A5A" w:rsidP="00EB0F1B">
      <w:pPr>
        <w:spacing w:line="447" w:lineRule="exact"/>
        <w:ind w:right="-200"/>
        <w:jc w:val="both"/>
        <w:rPr>
          <w:rFonts w:eastAsia="Arial"/>
          <w:color w:val="000000"/>
        </w:rPr>
      </w:pPr>
    </w:p>
    <w:p w:rsidR="008E6A5A" w:rsidRDefault="008E6A5A" w:rsidP="008E6A5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8E6A5A">
        <w:rPr>
          <w:rFonts w:eastAsiaTheme="minorHAnsi"/>
        </w:rPr>
        <w:t>Razlika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između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prihoda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rashoda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uravnotežuje</w:t>
      </w:r>
      <w:proofErr w:type="spellEnd"/>
      <w:r w:rsidRPr="008E6A5A">
        <w:rPr>
          <w:rFonts w:eastAsiaTheme="minorHAnsi"/>
        </w:rPr>
        <w:t xml:space="preserve"> se </w:t>
      </w:r>
      <w:proofErr w:type="spellStart"/>
      <w:r w:rsidRPr="008E6A5A">
        <w:rPr>
          <w:rFonts w:eastAsiaTheme="minorHAnsi"/>
        </w:rPr>
        <w:t>prenesenim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sredstvima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viška</w:t>
      </w:r>
      <w:proofErr w:type="spellEnd"/>
      <w:r w:rsidRPr="008E6A5A">
        <w:rPr>
          <w:rFonts w:eastAsiaTheme="minorHAnsi"/>
        </w:rPr>
        <w:t>/</w:t>
      </w:r>
      <w:proofErr w:type="spellStart"/>
      <w:r w:rsidRPr="008E6A5A">
        <w:rPr>
          <w:rFonts w:eastAsiaTheme="minorHAnsi"/>
        </w:rPr>
        <w:t>manjka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iz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prethodnog</w:t>
      </w:r>
      <w:proofErr w:type="spellEnd"/>
      <w:r w:rsidRPr="008E6A5A">
        <w:rPr>
          <w:rFonts w:eastAsiaTheme="minorHAnsi"/>
        </w:rPr>
        <w:t xml:space="preserve"> </w:t>
      </w:r>
      <w:proofErr w:type="spellStart"/>
      <w:r w:rsidRPr="008E6A5A">
        <w:rPr>
          <w:rFonts w:eastAsiaTheme="minorHAnsi"/>
        </w:rPr>
        <w:t>razdoblja</w:t>
      </w:r>
      <w:proofErr w:type="spellEnd"/>
      <w:r w:rsidRPr="008E6A5A">
        <w:rPr>
          <w:rFonts w:eastAsiaTheme="minorHAnsi"/>
        </w:rPr>
        <w:t>.</w:t>
      </w:r>
    </w:p>
    <w:p w:rsidR="00E97C25" w:rsidRDefault="00E97C25" w:rsidP="008E6A5A">
      <w:pPr>
        <w:autoSpaceDE w:val="0"/>
        <w:autoSpaceDN w:val="0"/>
        <w:adjustRightInd w:val="0"/>
        <w:rPr>
          <w:rFonts w:eastAsiaTheme="minorHAnsi"/>
        </w:rPr>
      </w:pPr>
    </w:p>
    <w:p w:rsidR="00E97C25" w:rsidRDefault="00E97C25" w:rsidP="008E6A5A">
      <w:pPr>
        <w:autoSpaceDE w:val="0"/>
        <w:autoSpaceDN w:val="0"/>
        <w:adjustRightInd w:val="0"/>
        <w:rPr>
          <w:rFonts w:eastAsiaTheme="minorHAnsi"/>
        </w:rPr>
      </w:pPr>
    </w:p>
    <w:p w:rsidR="00E97C25" w:rsidRDefault="00E97C25" w:rsidP="008E6A5A">
      <w:pPr>
        <w:autoSpaceDE w:val="0"/>
        <w:autoSpaceDN w:val="0"/>
        <w:adjustRightInd w:val="0"/>
        <w:rPr>
          <w:rFonts w:eastAsiaTheme="minorHAnsi"/>
        </w:rPr>
      </w:pPr>
    </w:p>
    <w:p w:rsidR="00E97C25" w:rsidRDefault="00E97C25" w:rsidP="00E97C25">
      <w:pPr>
        <w:spacing w:before="417" w:line="599" w:lineRule="exact"/>
        <w:ind w:right="2259"/>
        <w:jc w:val="center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t xml:space="preserve">            </w:t>
      </w:r>
      <w:proofErr w:type="spellStart"/>
      <w:r>
        <w:rPr>
          <w:rFonts w:eastAsia="Arial"/>
          <w:color w:val="000000"/>
          <w:sz w:val="44"/>
          <w:szCs w:val="44"/>
        </w:rPr>
        <w:t>Sažetak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Izmjena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i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dopuna</w:t>
      </w:r>
      <w:proofErr w:type="spellEnd"/>
      <w:r>
        <w:rPr>
          <w:rFonts w:eastAsia="Arial"/>
          <w:color w:val="000000"/>
          <w:sz w:val="44"/>
          <w:szCs w:val="44"/>
        </w:rPr>
        <w:t xml:space="preserve"> </w:t>
      </w:r>
      <w:proofErr w:type="spellStart"/>
      <w:r>
        <w:rPr>
          <w:rFonts w:eastAsia="Arial"/>
          <w:color w:val="000000"/>
          <w:sz w:val="44"/>
          <w:szCs w:val="44"/>
        </w:rPr>
        <w:t>P</w:t>
      </w:r>
      <w:r w:rsidRPr="009E6CFA">
        <w:rPr>
          <w:rFonts w:eastAsia="Arial"/>
          <w:color w:val="000000"/>
          <w:sz w:val="44"/>
          <w:szCs w:val="44"/>
        </w:rPr>
        <w:t>rora</w:t>
      </w:r>
      <w:r w:rsidRPr="009E6CFA">
        <w:rPr>
          <w:color w:val="000000"/>
          <w:sz w:val="44"/>
          <w:szCs w:val="44"/>
        </w:rPr>
        <w:t>č</w:t>
      </w:r>
      <w:r w:rsidRPr="009E6CFA">
        <w:rPr>
          <w:rFonts w:eastAsia="Arial"/>
          <w:color w:val="000000"/>
          <w:sz w:val="44"/>
          <w:szCs w:val="44"/>
        </w:rPr>
        <w:t>un</w:t>
      </w:r>
      <w:r>
        <w:rPr>
          <w:rFonts w:eastAsia="Arial"/>
          <w:color w:val="000000"/>
          <w:sz w:val="44"/>
          <w:szCs w:val="44"/>
        </w:rPr>
        <w:t>a</w:t>
      </w:r>
      <w:proofErr w:type="spellEnd"/>
      <w:r w:rsidRPr="009E6CFA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9E6CFA">
        <w:rPr>
          <w:rFonts w:eastAsia="Arial"/>
          <w:color w:val="000000"/>
          <w:sz w:val="44"/>
          <w:szCs w:val="44"/>
        </w:rPr>
        <w:t>Grada</w:t>
      </w:r>
      <w:proofErr w:type="spellEnd"/>
      <w:r w:rsidRPr="009E6CFA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9E6CFA">
        <w:rPr>
          <w:rFonts w:eastAsia="Arial"/>
          <w:color w:val="000000"/>
          <w:sz w:val="44"/>
          <w:szCs w:val="44"/>
        </w:rPr>
        <w:t>Slatine</w:t>
      </w:r>
      <w:proofErr w:type="spellEnd"/>
    </w:p>
    <w:p w:rsidR="00E97C25" w:rsidRDefault="00E97C25" w:rsidP="00E97C25">
      <w:pPr>
        <w:spacing w:line="599" w:lineRule="exact"/>
        <w:ind w:right="2259"/>
        <w:jc w:val="center"/>
        <w:rPr>
          <w:rFonts w:eastAsia="Arial"/>
          <w:color w:val="000000"/>
          <w:sz w:val="44"/>
          <w:szCs w:val="44"/>
        </w:rPr>
      </w:pPr>
      <w:r>
        <w:rPr>
          <w:rFonts w:eastAsia="Arial"/>
          <w:color w:val="000000"/>
          <w:sz w:val="44"/>
          <w:szCs w:val="44"/>
        </w:rPr>
        <w:t xml:space="preserve">             </w:t>
      </w:r>
      <w:proofErr w:type="spellStart"/>
      <w:proofErr w:type="gramStart"/>
      <w:r w:rsidRPr="009E6CFA">
        <w:rPr>
          <w:rFonts w:eastAsia="Arial"/>
          <w:color w:val="000000"/>
          <w:sz w:val="44"/>
          <w:szCs w:val="44"/>
        </w:rPr>
        <w:t>za</w:t>
      </w:r>
      <w:proofErr w:type="spellEnd"/>
      <w:proofErr w:type="gramEnd"/>
      <w:r w:rsidRPr="009E6CFA">
        <w:rPr>
          <w:rFonts w:eastAsia="Arial"/>
          <w:color w:val="000000"/>
          <w:sz w:val="44"/>
          <w:szCs w:val="44"/>
        </w:rPr>
        <w:t xml:space="preserve"> </w:t>
      </w:r>
      <w:r>
        <w:rPr>
          <w:rFonts w:eastAsia="Arial"/>
          <w:color w:val="000000"/>
          <w:sz w:val="44"/>
          <w:szCs w:val="44"/>
        </w:rPr>
        <w:t>2</w:t>
      </w:r>
      <w:r w:rsidRPr="009E6CFA">
        <w:rPr>
          <w:rFonts w:eastAsia="Arial"/>
          <w:color w:val="000000"/>
          <w:sz w:val="44"/>
          <w:szCs w:val="44"/>
        </w:rPr>
        <w:t>02</w:t>
      </w:r>
      <w:r>
        <w:rPr>
          <w:rFonts w:eastAsia="Arial"/>
          <w:color w:val="000000"/>
          <w:sz w:val="44"/>
          <w:szCs w:val="44"/>
        </w:rPr>
        <w:t xml:space="preserve">4. </w:t>
      </w:r>
      <w:proofErr w:type="spellStart"/>
      <w:proofErr w:type="gramStart"/>
      <w:r>
        <w:rPr>
          <w:rFonts w:eastAsia="Arial"/>
          <w:color w:val="000000"/>
          <w:sz w:val="44"/>
          <w:szCs w:val="44"/>
        </w:rPr>
        <w:t>godinu</w:t>
      </w:r>
      <w:proofErr w:type="spellEnd"/>
      <w:proofErr w:type="gramEnd"/>
    </w:p>
    <w:p w:rsidR="00E97C25" w:rsidRDefault="00E97C25" w:rsidP="00E97C25"/>
    <w:tbl>
      <w:tblPr>
        <w:tblStyle w:val="Svijetlipopis"/>
        <w:tblW w:w="5000" w:type="pct"/>
        <w:tblLook w:val="0620" w:firstRow="1" w:lastRow="0" w:firstColumn="0" w:lastColumn="0" w:noHBand="1" w:noVBand="1"/>
      </w:tblPr>
      <w:tblGrid>
        <w:gridCol w:w="3127"/>
        <w:gridCol w:w="2993"/>
        <w:gridCol w:w="3135"/>
        <w:gridCol w:w="3395"/>
      </w:tblGrid>
      <w:tr w:rsidR="00E97C25" w:rsidTr="00FF2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1183" w:type="pct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ZA </w:t>
            </w:r>
            <w:r w:rsidRPr="00EC5F5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EC5F52">
              <w:rPr>
                <w:rFonts w:ascii="Times New Roman" w:hAnsi="Times New Roman" w:cs="Times New Roman"/>
              </w:rPr>
              <w:t>.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EUR</w:t>
            </w:r>
            <w:r w:rsidRPr="00EC5F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pc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PROMJENA PLANA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342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548DD4" w:themeFill="text2" w:themeFillTint="99"/>
          </w:tcPr>
          <w:p w:rsidR="00E97C25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PLAN 2024</w:t>
            </w:r>
            <w:r w:rsidRPr="00EC5F52">
              <w:rPr>
                <w:rFonts w:ascii="Times New Roman" w:hAnsi="Times New Roman" w:cs="Times New Roman"/>
              </w:rPr>
              <w:t xml:space="preserve">. </w:t>
            </w:r>
          </w:p>
          <w:p w:rsidR="00E97C25" w:rsidRPr="00EC5F52" w:rsidRDefault="00E97C25" w:rsidP="00FF2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(EUR</w:t>
            </w:r>
            <w:r w:rsidRPr="00EC5F52">
              <w:rPr>
                <w:rFonts w:ascii="Times New Roman" w:hAnsi="Times New Roman" w:cs="Times New Roman"/>
              </w:rPr>
              <w:t>)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9.777.006,37</w:t>
            </w:r>
          </w:p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4.929.953,18</w:t>
            </w: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24.706.959,55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Preneseni poslovni rezultat iz prethodne godine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418.566,19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-761.435,87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-342.869,68</w:t>
            </w:r>
          </w:p>
        </w:tc>
      </w:tr>
      <w:tr w:rsidR="00E97C25" w:rsidTr="00FF2060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rPr>
                <w:rFonts w:ascii="Times New Roman" w:hAnsi="Times New Roman" w:cs="Times New Roman"/>
              </w:rPr>
            </w:pPr>
            <w:r w:rsidRPr="00EC5F52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20.195.572,56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4.168.517,31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5" w:rsidRPr="00EC5F52" w:rsidRDefault="00E97C25" w:rsidP="00FF20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24.364.089,87</w:t>
            </w:r>
          </w:p>
        </w:tc>
      </w:tr>
    </w:tbl>
    <w:p w:rsidR="00E97C25" w:rsidRPr="008E6A5A" w:rsidRDefault="00E97C25" w:rsidP="008E6A5A">
      <w:pPr>
        <w:autoSpaceDE w:val="0"/>
        <w:autoSpaceDN w:val="0"/>
        <w:adjustRightInd w:val="0"/>
        <w:rPr>
          <w:rFonts w:eastAsiaTheme="minorHAnsi"/>
        </w:rPr>
      </w:pPr>
    </w:p>
    <w:p w:rsidR="008E6A5A" w:rsidRDefault="008E6A5A" w:rsidP="008E6A5A">
      <w:pPr>
        <w:autoSpaceDE w:val="0"/>
        <w:autoSpaceDN w:val="0"/>
        <w:adjustRightInd w:val="0"/>
        <w:rPr>
          <w:rFonts w:eastAsiaTheme="minorHAnsi"/>
          <w:highlight w:val="yellow"/>
        </w:rPr>
      </w:pPr>
    </w:p>
    <w:p w:rsidR="00FE02C6" w:rsidRDefault="00FE02C6" w:rsidP="00FE02C6">
      <w:pPr>
        <w:spacing w:line="447" w:lineRule="exact"/>
        <w:ind w:right="-200"/>
        <w:jc w:val="center"/>
        <w:rPr>
          <w:rFonts w:eastAsia="Arial"/>
          <w:color w:val="000000"/>
        </w:rPr>
      </w:pPr>
    </w:p>
    <w:p w:rsidR="00A269FD" w:rsidRDefault="00A269FD" w:rsidP="00A269FD">
      <w:pPr>
        <w:jc w:val="center"/>
        <w:rPr>
          <w:rFonts w:eastAsia="Arial"/>
          <w:color w:val="000000"/>
          <w:sz w:val="44"/>
          <w:szCs w:val="44"/>
        </w:rPr>
      </w:pPr>
      <w:r w:rsidRPr="00026618">
        <w:rPr>
          <w:noProof/>
          <w:bdr w:val="dashDotStroked" w:sz="24" w:space="0" w:color="auto"/>
          <w:lang w:val="hr-HR" w:eastAsia="hr-HR"/>
        </w:rPr>
        <w:drawing>
          <wp:inline distT="0" distB="0" distL="0" distR="0" wp14:anchorId="6C85931F" wp14:editId="5B69F0E4">
            <wp:extent cx="5486400" cy="3638550"/>
            <wp:effectExtent l="0" t="0" r="0" b="0"/>
            <wp:docPr id="17" name="Grafikon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eastAsia="Arial"/>
          <w:color w:val="000000"/>
          <w:sz w:val="44"/>
          <w:szCs w:val="44"/>
        </w:rPr>
        <w:br w:type="page"/>
      </w:r>
    </w:p>
    <w:p w:rsidR="00FB4D3F" w:rsidRDefault="00831902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>Usporedba prihoda</w:t>
      </w:r>
      <w:r w:rsidR="00FB4D3F" w:rsidRPr="00FB4D3F">
        <w:rPr>
          <w:noProof/>
          <w:sz w:val="44"/>
          <w:szCs w:val="44"/>
          <w:lang w:val="hr-HR" w:eastAsia="hr-HR"/>
        </w:rPr>
        <w:t xml:space="preserve"> i primi</w:t>
      </w:r>
      <w:r>
        <w:rPr>
          <w:noProof/>
          <w:sz w:val="44"/>
          <w:szCs w:val="44"/>
          <w:lang w:val="hr-HR" w:eastAsia="hr-HR"/>
        </w:rPr>
        <w:t xml:space="preserve">taka </w:t>
      </w:r>
      <w:r w:rsidR="00FB4D3F" w:rsidRPr="00FB4D3F">
        <w:rPr>
          <w:noProof/>
          <w:sz w:val="44"/>
          <w:szCs w:val="44"/>
          <w:lang w:val="hr-HR" w:eastAsia="hr-HR"/>
        </w:rPr>
        <w:t xml:space="preserve">po izvorima </w:t>
      </w:r>
      <w:r>
        <w:rPr>
          <w:noProof/>
          <w:sz w:val="44"/>
          <w:szCs w:val="44"/>
          <w:lang w:val="hr-HR" w:eastAsia="hr-HR"/>
        </w:rPr>
        <w:t>u 2024. godini</w:t>
      </w:r>
    </w:p>
    <w:p w:rsidR="00416D64" w:rsidRDefault="00416D64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FB4D3F" w:rsidRDefault="00D109A5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  <w:r w:rsidRPr="00F8378B">
        <w:rPr>
          <w:noProof/>
          <w:sz w:val="44"/>
          <w:szCs w:val="44"/>
          <w:bdr w:val="single" w:sz="2" w:space="0" w:color="auto"/>
          <w:lang w:val="hr-HR" w:eastAsia="hr-HR"/>
        </w:rPr>
        <w:drawing>
          <wp:inline distT="0" distB="0" distL="0" distR="0" wp14:anchorId="300B746B" wp14:editId="427E013E">
            <wp:extent cx="8467725" cy="4377055"/>
            <wp:effectExtent l="0" t="0" r="9525" b="4445"/>
            <wp:docPr id="45" name="Grafikon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4D3F" w:rsidRDefault="00FB4D3F" w:rsidP="00FB4D3F">
      <w:pPr>
        <w:ind w:right="-200"/>
        <w:jc w:val="both"/>
        <w:rPr>
          <w:noProof/>
          <w:sz w:val="44"/>
          <w:szCs w:val="44"/>
          <w:lang w:val="hr-HR" w:eastAsia="hr-HR"/>
        </w:rPr>
      </w:pPr>
    </w:p>
    <w:p w:rsidR="004F4349" w:rsidRDefault="004F4349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t>Usporedba</w:t>
      </w:r>
      <w:r w:rsidR="009D3620">
        <w:rPr>
          <w:noProof/>
          <w:sz w:val="44"/>
          <w:szCs w:val="44"/>
          <w:lang w:val="hr-HR" w:eastAsia="hr-HR"/>
        </w:rPr>
        <w:t xml:space="preserve"> rashoda i izdataka po ekonomskoj klasifikaciji </w:t>
      </w:r>
    </w:p>
    <w:p w:rsidR="00007086" w:rsidRDefault="009D3620" w:rsidP="003F0DBF">
      <w:pPr>
        <w:ind w:right="-200"/>
        <w:jc w:val="center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t xml:space="preserve">za </w:t>
      </w:r>
      <w:r w:rsidR="004F4349">
        <w:rPr>
          <w:noProof/>
          <w:sz w:val="44"/>
          <w:szCs w:val="44"/>
          <w:lang w:val="hr-HR" w:eastAsia="hr-HR"/>
        </w:rPr>
        <w:t>2024. godinu</w:t>
      </w:r>
    </w:p>
    <w:p w:rsidR="002073B6" w:rsidRDefault="002073B6" w:rsidP="00007086">
      <w:pPr>
        <w:ind w:right="-200"/>
        <w:jc w:val="both"/>
        <w:rPr>
          <w:noProof/>
          <w:sz w:val="44"/>
          <w:szCs w:val="44"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drawing>
          <wp:inline distT="0" distB="0" distL="0" distR="0">
            <wp:extent cx="8953500" cy="4619625"/>
            <wp:effectExtent l="0" t="0" r="0" b="9525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3620" w:rsidRDefault="00AB4FD6" w:rsidP="00F62105">
      <w:pPr>
        <w:ind w:right="-200"/>
        <w:jc w:val="center"/>
        <w:rPr>
          <w:noProof/>
          <w:lang w:val="hr-HR" w:eastAsia="hr-HR"/>
        </w:rPr>
      </w:pPr>
      <w:r>
        <w:rPr>
          <w:noProof/>
          <w:sz w:val="44"/>
          <w:szCs w:val="44"/>
          <w:lang w:val="hr-HR" w:eastAsia="hr-HR"/>
        </w:rPr>
        <w:lastRenderedPageBreak/>
        <w:t xml:space="preserve">Struktura rashoda prema funkcijskoj klasifikaciji </w:t>
      </w:r>
      <w:r w:rsidR="00F62105">
        <w:rPr>
          <w:noProof/>
          <w:sz w:val="44"/>
          <w:szCs w:val="44"/>
          <w:lang w:val="hr-HR" w:eastAsia="hr-HR"/>
        </w:rPr>
        <w:t xml:space="preserve">kroz izmjene i dopune Proračuna Grada Slatine </w:t>
      </w:r>
      <w:r>
        <w:rPr>
          <w:noProof/>
          <w:sz w:val="44"/>
          <w:szCs w:val="44"/>
          <w:lang w:val="hr-HR" w:eastAsia="hr-HR"/>
        </w:rPr>
        <w:t>za 202</w:t>
      </w:r>
      <w:r w:rsidR="00D809AB">
        <w:rPr>
          <w:noProof/>
          <w:sz w:val="44"/>
          <w:szCs w:val="44"/>
          <w:lang w:val="hr-HR" w:eastAsia="hr-HR"/>
        </w:rPr>
        <w:t>4</w:t>
      </w:r>
      <w:r>
        <w:rPr>
          <w:noProof/>
          <w:sz w:val="44"/>
          <w:szCs w:val="44"/>
          <w:lang w:val="hr-HR" w:eastAsia="hr-HR"/>
        </w:rPr>
        <w:t>. godinu</w:t>
      </w:r>
      <w:r w:rsidR="009D3620" w:rsidRPr="009D3620">
        <w:rPr>
          <w:noProof/>
          <w:sz w:val="44"/>
          <w:szCs w:val="44"/>
          <w:lang w:val="hr-HR" w:eastAsia="hr-HR"/>
        </w:rPr>
        <w:drawing>
          <wp:inline distT="0" distB="0" distL="0" distR="0">
            <wp:extent cx="8096250" cy="47720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1A7B" w:rsidRPr="003146C5" w:rsidRDefault="0097601F" w:rsidP="003146C5">
      <w:pPr>
        <w:spacing w:before="2140"/>
        <w:ind w:right="-200"/>
        <w:jc w:val="center"/>
        <w:rPr>
          <w:sz w:val="44"/>
          <w:szCs w:val="44"/>
        </w:rPr>
      </w:pPr>
      <w:proofErr w:type="spellStart"/>
      <w:r w:rsidRPr="003146C5">
        <w:rPr>
          <w:sz w:val="44"/>
          <w:szCs w:val="44"/>
        </w:rPr>
        <w:lastRenderedPageBreak/>
        <w:t>Rashodi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i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izdaci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Izmjena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i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dopuna</w:t>
      </w:r>
      <w:proofErr w:type="spellEnd"/>
      <w:r w:rsidR="00211BF4">
        <w:rPr>
          <w:sz w:val="44"/>
          <w:szCs w:val="44"/>
        </w:rPr>
        <w:t xml:space="preserve"> </w:t>
      </w:r>
      <w:proofErr w:type="spellStart"/>
      <w:r w:rsidR="00211BF4">
        <w:rPr>
          <w:sz w:val="44"/>
          <w:szCs w:val="44"/>
        </w:rPr>
        <w:t>P</w:t>
      </w:r>
      <w:r w:rsidRPr="003146C5">
        <w:rPr>
          <w:sz w:val="44"/>
          <w:szCs w:val="44"/>
        </w:rPr>
        <w:t>roračuna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Grada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Slatine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po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proračunskim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Pr="003146C5">
        <w:rPr>
          <w:sz w:val="44"/>
          <w:szCs w:val="44"/>
        </w:rPr>
        <w:t>korisnicima</w:t>
      </w:r>
      <w:proofErr w:type="spellEnd"/>
      <w:r w:rsidRPr="003146C5">
        <w:rPr>
          <w:sz w:val="44"/>
          <w:szCs w:val="44"/>
        </w:rPr>
        <w:t xml:space="preserve"> </w:t>
      </w:r>
      <w:proofErr w:type="spellStart"/>
      <w:r w:rsidR="008A2F5F">
        <w:rPr>
          <w:sz w:val="44"/>
          <w:szCs w:val="44"/>
        </w:rPr>
        <w:t>za</w:t>
      </w:r>
      <w:proofErr w:type="spellEnd"/>
      <w:r w:rsidR="008A2F5F">
        <w:rPr>
          <w:sz w:val="44"/>
          <w:szCs w:val="44"/>
        </w:rPr>
        <w:t xml:space="preserve"> </w:t>
      </w:r>
      <w:r w:rsidRPr="003146C5">
        <w:rPr>
          <w:sz w:val="44"/>
          <w:szCs w:val="44"/>
        </w:rPr>
        <w:t>202</w:t>
      </w:r>
      <w:r w:rsidR="005F633E">
        <w:rPr>
          <w:sz w:val="44"/>
          <w:szCs w:val="44"/>
        </w:rPr>
        <w:t>4</w:t>
      </w:r>
      <w:r w:rsidRPr="003146C5">
        <w:rPr>
          <w:sz w:val="44"/>
          <w:szCs w:val="44"/>
        </w:rPr>
        <w:t>.</w:t>
      </w:r>
      <w:r w:rsidR="00211BF4">
        <w:rPr>
          <w:sz w:val="44"/>
          <w:szCs w:val="44"/>
        </w:rPr>
        <w:t xml:space="preserve"> </w:t>
      </w:r>
      <w:proofErr w:type="spellStart"/>
      <w:proofErr w:type="gramStart"/>
      <w:r w:rsidR="00211BF4">
        <w:rPr>
          <w:sz w:val="44"/>
          <w:szCs w:val="44"/>
        </w:rPr>
        <w:t>godinu</w:t>
      </w:r>
      <w:proofErr w:type="spellEnd"/>
      <w:proofErr w:type="gramEnd"/>
    </w:p>
    <w:p w:rsidR="0097601F" w:rsidRDefault="0097601F"/>
    <w:tbl>
      <w:tblPr>
        <w:tblStyle w:val="Srednjesjenanje2-Isticanje5"/>
        <w:tblW w:w="5885" w:type="pct"/>
        <w:tblInd w:w="-567" w:type="dxa"/>
        <w:tblLayout w:type="fixed"/>
        <w:tblLook w:val="0660" w:firstRow="1" w:lastRow="1" w:firstColumn="0" w:lastColumn="0" w:noHBand="1" w:noVBand="1"/>
      </w:tblPr>
      <w:tblGrid>
        <w:gridCol w:w="5813"/>
        <w:gridCol w:w="424"/>
        <w:gridCol w:w="2270"/>
        <w:gridCol w:w="3543"/>
        <w:gridCol w:w="2863"/>
      </w:tblGrid>
      <w:tr w:rsidR="00D73509" w:rsidTr="0024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shd w:val="clear" w:color="auto" w:fill="548DD4" w:themeFill="text2" w:themeFillTint="99"/>
            <w:noWrap/>
          </w:tcPr>
          <w:p w:rsidR="0097601F" w:rsidRPr="00CB69C2" w:rsidRDefault="003A2888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>RASHODI/IZDACI</w:t>
            </w:r>
          </w:p>
        </w:tc>
        <w:tc>
          <w:tcPr>
            <w:tcW w:w="903" w:type="pct"/>
            <w:gridSpan w:val="2"/>
            <w:shd w:val="clear" w:color="auto" w:fill="548DD4" w:themeFill="text2" w:themeFillTint="99"/>
          </w:tcPr>
          <w:p w:rsidR="0002301D" w:rsidRDefault="00D73509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</w:t>
            </w:r>
            <w:r w:rsidR="003A2888" w:rsidRPr="00CB69C2">
              <w:rPr>
                <w:rFonts w:ascii="Times New Roman" w:hAnsi="Times New Roman" w:cs="Times New Roman"/>
              </w:rPr>
              <w:t xml:space="preserve">                </w:t>
            </w:r>
            <w:r w:rsidR="008F5C43">
              <w:rPr>
                <w:rFonts w:ascii="Times New Roman" w:hAnsi="Times New Roman" w:cs="Times New Roman"/>
              </w:rPr>
              <w:t xml:space="preserve"> PLAN 202</w:t>
            </w:r>
            <w:r w:rsidR="005F633E">
              <w:rPr>
                <w:rFonts w:ascii="Times New Roman" w:hAnsi="Times New Roman" w:cs="Times New Roman"/>
              </w:rPr>
              <w:t>4</w:t>
            </w:r>
            <w:r w:rsidR="008F5C43">
              <w:rPr>
                <w:rFonts w:ascii="Times New Roman" w:hAnsi="Times New Roman" w:cs="Times New Roman"/>
              </w:rPr>
              <w:t>.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  <w:r w:rsidR="00726F18">
              <w:rPr>
                <w:rFonts w:ascii="Times New Roman" w:hAnsi="Times New Roman" w:cs="Times New Roman"/>
              </w:rPr>
              <w:t xml:space="preserve">  </w:t>
            </w:r>
            <w:r w:rsidR="0002301D">
              <w:rPr>
                <w:rFonts w:ascii="Times New Roman" w:hAnsi="Times New Roman" w:cs="Times New Roman"/>
              </w:rPr>
              <w:t xml:space="preserve">     </w:t>
            </w:r>
          </w:p>
          <w:p w:rsidR="0097601F" w:rsidRPr="00CB69C2" w:rsidRDefault="008F5C43" w:rsidP="008F5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2301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188" w:type="pct"/>
            <w:shd w:val="clear" w:color="auto" w:fill="548DD4" w:themeFill="text2" w:themeFillTint="99"/>
          </w:tcPr>
          <w:p w:rsidR="0002301D" w:rsidRDefault="003A2888" w:rsidP="0002301D">
            <w:pPr>
              <w:rPr>
                <w:rFonts w:ascii="Times New Roman" w:hAnsi="Times New Roman" w:cs="Times New Roman"/>
              </w:rPr>
            </w:pPr>
            <w:r w:rsidRPr="00CB69C2">
              <w:rPr>
                <w:rFonts w:ascii="Times New Roman" w:hAnsi="Times New Roman" w:cs="Times New Roman"/>
              </w:rPr>
              <w:t xml:space="preserve">         </w:t>
            </w:r>
            <w:r w:rsidR="00211BF4">
              <w:rPr>
                <w:rFonts w:ascii="Times New Roman" w:hAnsi="Times New Roman" w:cs="Times New Roman"/>
              </w:rPr>
              <w:t xml:space="preserve">         PROMJENA PLANA</w:t>
            </w:r>
            <w:r w:rsidR="0097601F" w:rsidRPr="00CB69C2">
              <w:rPr>
                <w:rFonts w:ascii="Times New Roman" w:hAnsi="Times New Roman" w:cs="Times New Roman"/>
              </w:rPr>
              <w:t xml:space="preserve"> </w:t>
            </w:r>
            <w:r w:rsidR="0002301D">
              <w:rPr>
                <w:rFonts w:ascii="Times New Roman" w:hAnsi="Times New Roman" w:cs="Times New Roman"/>
              </w:rPr>
              <w:t xml:space="preserve">                                    </w:t>
            </w:r>
          </w:p>
          <w:p w:rsidR="0097601F" w:rsidRPr="00CB69C2" w:rsidRDefault="0002301D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(EUR</w:t>
            </w:r>
            <w:r w:rsidR="0097601F" w:rsidRPr="00CB6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0" w:type="pct"/>
            <w:shd w:val="clear" w:color="auto" w:fill="548DD4" w:themeFill="text2" w:themeFillTint="99"/>
          </w:tcPr>
          <w:p w:rsidR="0002301D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11BF4">
              <w:rPr>
                <w:rFonts w:ascii="Times New Roman" w:hAnsi="Times New Roman" w:cs="Times New Roman"/>
              </w:rPr>
              <w:t>NOVI PLAN 2024</w:t>
            </w:r>
            <w:r w:rsidR="0097601F" w:rsidRPr="00CB69C2">
              <w:rPr>
                <w:rFonts w:ascii="Times New Roman" w:hAnsi="Times New Roman" w:cs="Times New Roman"/>
              </w:rPr>
              <w:t xml:space="preserve">. </w:t>
            </w:r>
            <w:r w:rsidR="003A2888" w:rsidRPr="00CB69C2">
              <w:rPr>
                <w:rFonts w:ascii="Times New Roman" w:hAnsi="Times New Roman" w:cs="Times New Roman"/>
              </w:rPr>
              <w:t xml:space="preserve"> </w:t>
            </w:r>
          </w:p>
          <w:p w:rsidR="0097601F" w:rsidRPr="00CB69C2" w:rsidRDefault="008F5C43" w:rsidP="00023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2301D">
              <w:rPr>
                <w:rFonts w:ascii="Times New Roman" w:hAnsi="Times New Roman" w:cs="Times New Roman"/>
              </w:rPr>
              <w:t xml:space="preserve">   </w:t>
            </w:r>
            <w:r w:rsidR="003A2888" w:rsidRPr="00CB69C2">
              <w:rPr>
                <w:rFonts w:ascii="Times New Roman" w:hAnsi="Times New Roman" w:cs="Times New Roman"/>
              </w:rPr>
              <w:t>(</w:t>
            </w:r>
            <w:r w:rsidR="0002301D">
              <w:rPr>
                <w:rFonts w:ascii="Times New Roman" w:hAnsi="Times New Roman" w:cs="Times New Roman"/>
              </w:rPr>
              <w:t>EUR</w:t>
            </w:r>
            <w:r w:rsidR="003A2888" w:rsidRPr="00CB69C2">
              <w:rPr>
                <w:rFonts w:ascii="Times New Roman" w:hAnsi="Times New Roman" w:cs="Times New Roman"/>
              </w:rPr>
              <w:t>)</w:t>
            </w:r>
          </w:p>
        </w:tc>
      </w:tr>
      <w:tr w:rsidR="003A2888" w:rsidTr="00244D76">
        <w:tc>
          <w:tcPr>
            <w:tcW w:w="2091" w:type="pct"/>
            <w:gridSpan w:val="2"/>
            <w:tcBorders>
              <w:top w:val="nil"/>
              <w:bottom w:val="single" w:sz="4" w:space="0" w:color="auto"/>
            </w:tcBorders>
            <w:noWrap/>
          </w:tcPr>
          <w:p w:rsidR="00382B92" w:rsidRDefault="003A2888" w:rsidP="003A2888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010 </w:t>
            </w:r>
          </w:p>
          <w:p w:rsidR="003A2888" w:rsidRPr="00AD70ED" w:rsidRDefault="003A2888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GLAVA </w:t>
            </w:r>
            <w:r w:rsidR="00D268ED">
              <w:rPr>
                <w:rFonts w:ascii="Times New Roman" w:hAnsi="Times New Roman" w:cs="Times New Roman"/>
                <w:b/>
              </w:rPr>
              <w:t>010</w:t>
            </w:r>
            <w:r w:rsidRPr="00AD70ED">
              <w:rPr>
                <w:rFonts w:ascii="Times New Roman" w:hAnsi="Times New Roman" w:cs="Times New Roman"/>
                <w:b/>
              </w:rPr>
              <w:t>10 STRUČNA SLUŽBA GRADA SLATINE</w:t>
            </w:r>
          </w:p>
        </w:tc>
        <w:tc>
          <w:tcPr>
            <w:tcW w:w="761" w:type="pct"/>
            <w:tcBorders>
              <w:top w:val="nil"/>
              <w:bottom w:val="single" w:sz="4" w:space="0" w:color="auto"/>
            </w:tcBorders>
          </w:tcPr>
          <w:p w:rsidR="003A2888" w:rsidRPr="00AD70ED" w:rsidRDefault="00211BF4" w:rsidP="00211BF4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2888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965.113,22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3A2888" w:rsidRPr="0066073E" w:rsidRDefault="005F633E" w:rsidP="00211BF4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211BF4" w:rsidRPr="0066073E">
              <w:rPr>
                <w:rFonts w:ascii="Times New Roman" w:hAnsi="Times New Roman" w:cs="Times New Roman"/>
                <w:b/>
                <w:sz w:val="24"/>
                <w:szCs w:val="24"/>
              </w:rPr>
              <w:t>395.043,17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3A2888" w:rsidRPr="00AD70ED" w:rsidRDefault="005F633E" w:rsidP="00211BF4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D7A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82B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r w:rsidR="00382B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b/>
                <w:sz w:val="24"/>
                <w:szCs w:val="24"/>
              </w:rPr>
              <w:t>156,39</w:t>
            </w:r>
          </w:p>
        </w:tc>
      </w:tr>
      <w:tr w:rsidR="003A2888" w:rsidTr="00244D76">
        <w:tc>
          <w:tcPr>
            <w:tcW w:w="1949" w:type="pct"/>
            <w:tcBorders>
              <w:top w:val="nil"/>
              <w:bottom w:val="single" w:sz="4" w:space="0" w:color="auto"/>
            </w:tcBorders>
            <w:noWrap/>
          </w:tcPr>
          <w:p w:rsidR="0097601F" w:rsidRPr="00D73509" w:rsidRDefault="0097601F" w:rsidP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</w:t>
            </w:r>
            <w:r w:rsidR="00D73509" w:rsidRPr="00D73509">
              <w:rPr>
                <w:rFonts w:ascii="Times New Roman" w:hAnsi="Times New Roman" w:cs="Times New Roman"/>
              </w:rPr>
              <w:t>TRUČNA SLUŽBA GRADA SLATINE</w:t>
            </w:r>
          </w:p>
        </w:tc>
        <w:tc>
          <w:tcPr>
            <w:tcW w:w="903" w:type="pct"/>
            <w:gridSpan w:val="2"/>
            <w:tcBorders>
              <w:top w:val="nil"/>
              <w:bottom w:val="single" w:sz="4" w:space="0" w:color="auto"/>
            </w:tcBorders>
          </w:tcPr>
          <w:p w:rsidR="0097601F" w:rsidRPr="00FD7AF3" w:rsidRDefault="00CF185E" w:rsidP="00C22D7B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509" w:rsidRPr="00FD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D7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73509" w:rsidRPr="00FD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D7B">
              <w:rPr>
                <w:rFonts w:ascii="Times New Roman" w:hAnsi="Times New Roman" w:cs="Times New Roman"/>
                <w:sz w:val="24"/>
                <w:szCs w:val="24"/>
              </w:rPr>
              <w:t>476,33</w:t>
            </w:r>
          </w:p>
        </w:tc>
        <w:tc>
          <w:tcPr>
            <w:tcW w:w="1188" w:type="pct"/>
            <w:tcBorders>
              <w:top w:val="nil"/>
              <w:bottom w:val="single" w:sz="4" w:space="0" w:color="auto"/>
            </w:tcBorders>
          </w:tcPr>
          <w:p w:rsidR="00AD70ED" w:rsidRPr="0066073E" w:rsidRDefault="005F633E" w:rsidP="0066073E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57399" w:rsidRPr="00660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73E" w:rsidRPr="006607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22D7B" w:rsidRPr="0066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073E" w:rsidRPr="0066073E">
              <w:rPr>
                <w:rFonts w:ascii="Times New Roman" w:hAnsi="Times New Roman" w:cs="Times New Roman"/>
                <w:sz w:val="24"/>
                <w:szCs w:val="24"/>
              </w:rPr>
              <w:t>528,62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</w:tcPr>
          <w:p w:rsidR="0097601F" w:rsidRPr="00FD7AF3" w:rsidRDefault="005F633E" w:rsidP="006234BE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D7AF3" w:rsidRPr="00FD7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0ED" w:rsidRPr="00FD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7AF3" w:rsidRPr="00FD7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D70ED" w:rsidRPr="00FD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004,95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DJEČJI VRTIĆ ZEKO „SLATINA“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E6A3E" w:rsidP="005F633E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33E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3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211BF4" w:rsidP="00C22D7B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36.473,35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09" w:rsidRP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3A2888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 xml:space="preserve">PUČKO OTVORENO UČILIŠTE </w:t>
            </w:r>
          </w:p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  <w:r w:rsidR="0097601F" w:rsidRPr="00D73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5F633E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5F633E" w:rsidP="00C22D7B">
            <w:pPr>
              <w:pStyle w:val="DecimalAligned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22D7B"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BF4" w:rsidRPr="0066073E"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F4" w:rsidRPr="0066073E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5F633E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JAVNA VATROGASNA POSTROJBA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B44CE4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3E6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628,89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B44CE4" w:rsidP="004F0825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234BE" w:rsidRPr="0066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D6" w:rsidRPr="00660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1BF4" w:rsidRPr="0066073E">
              <w:rPr>
                <w:rFonts w:ascii="Times New Roman" w:hAnsi="Times New Roman" w:cs="Times New Roman"/>
                <w:sz w:val="24"/>
                <w:szCs w:val="24"/>
              </w:rPr>
              <w:t>8.249,20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809.878,09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ZAVIČAJNI MUZEJ 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B44CE4" w:rsidRDefault="00B44CE4" w:rsidP="003E6A3E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204.048,00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B44CE4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</w:t>
            </w:r>
            <w:r w:rsidR="00C22D7B"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</w:t>
            </w:r>
            <w:r w:rsidR="00211BF4"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211BF4" w:rsidRPr="0066073E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281,00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B44CE4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</w:t>
            </w:r>
            <w:r w:rsidR="00211BF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211BF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B44CE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211BF4">
              <w:rPr>
                <w:rStyle w:val="Neupadljivoisticanje"/>
                <w:rFonts w:ascii="Times New Roman" w:hAnsi="Times New Roman" w:cs="Times New Roman"/>
                <w:i w:val="0"/>
                <w:sz w:val="24"/>
                <w:szCs w:val="24"/>
              </w:rPr>
              <w:t>329,00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GRADSKA KNJIŽNICA I ČITAONICA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 w:rsidRPr="00D73509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3E6A3E" w:rsidP="000E1081">
            <w:pPr>
              <w:jc w:val="right"/>
              <w:rPr>
                <w:rStyle w:val="Neupadljivoisticanje"/>
                <w:rFonts w:ascii="Times New Roman" w:hAnsi="Times New Roman" w:cs="Times New Roman"/>
                <w:i w:val="0"/>
              </w:rPr>
            </w:pPr>
            <w:r>
              <w:rPr>
                <w:rStyle w:val="Neupadljivoisticanje"/>
                <w:rFonts w:ascii="Times New Roman" w:hAnsi="Times New Roman" w:cs="Times New Roman"/>
                <w:i w:val="0"/>
              </w:rPr>
              <w:t>2</w:t>
            </w:r>
            <w:r w:rsidR="000E1081">
              <w:rPr>
                <w:rStyle w:val="Neupadljivoisticanje"/>
                <w:rFonts w:ascii="Times New Roman" w:hAnsi="Times New Roman" w:cs="Times New Roman"/>
                <w:i w:val="0"/>
              </w:rPr>
              <w:t>89</w:t>
            </w:r>
            <w:r>
              <w:rPr>
                <w:rStyle w:val="Neupadljivoisticanje"/>
                <w:rFonts w:ascii="Times New Roman" w:hAnsi="Times New Roman" w:cs="Times New Roman"/>
                <w:i w:val="0"/>
              </w:rPr>
              <w:t>.</w:t>
            </w:r>
            <w:r w:rsidR="000E1081">
              <w:rPr>
                <w:rStyle w:val="Neupadljivoisticanje"/>
                <w:rFonts w:ascii="Times New Roman" w:hAnsi="Times New Roman" w:cs="Times New Roman"/>
                <w:i w:val="0"/>
              </w:rPr>
              <w:t>912</w:t>
            </w:r>
            <w:r>
              <w:rPr>
                <w:rStyle w:val="Neupadljivoisticanje"/>
                <w:rFonts w:ascii="Times New Roman" w:hAnsi="Times New Roman" w:cs="Times New Roman"/>
                <w:i w:val="0"/>
              </w:rPr>
              <w:t>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66073E" w:rsidRDefault="000E1081" w:rsidP="00211BF4">
            <w:pPr>
              <w:jc w:val="center"/>
              <w:rPr>
                <w:rFonts w:ascii="Times New Roman" w:hAnsi="Times New Roman" w:cs="Times New Roman"/>
              </w:rPr>
            </w:pPr>
            <w:r w:rsidRPr="0066073E">
              <w:rPr>
                <w:rFonts w:ascii="Times New Roman" w:hAnsi="Times New Roman" w:cs="Times New Roman"/>
              </w:rPr>
              <w:t xml:space="preserve">                           </w:t>
            </w:r>
            <w:r w:rsidR="00211BF4" w:rsidRPr="0066073E">
              <w:rPr>
                <w:rFonts w:ascii="Times New Roman" w:hAnsi="Times New Roman" w:cs="Times New Roman"/>
              </w:rPr>
              <w:t>10</w:t>
            </w:r>
            <w:r w:rsidR="003E6A3E" w:rsidRPr="0066073E">
              <w:rPr>
                <w:rFonts w:ascii="Times New Roman" w:hAnsi="Times New Roman" w:cs="Times New Roman"/>
              </w:rPr>
              <w:t>.</w:t>
            </w:r>
            <w:r w:rsidR="00211BF4" w:rsidRPr="0066073E">
              <w:rPr>
                <w:rFonts w:ascii="Times New Roman" w:hAnsi="Times New Roman" w:cs="Times New Roman"/>
              </w:rPr>
              <w:t>756,00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0E1081" w:rsidP="002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211BF4">
              <w:rPr>
                <w:rFonts w:ascii="Times New Roman" w:hAnsi="Times New Roman" w:cs="Times New Roman"/>
              </w:rPr>
              <w:t>300.668,00</w:t>
            </w:r>
          </w:p>
        </w:tc>
      </w:tr>
      <w:tr w:rsidR="00AD70ED" w:rsidRPr="00AD70ED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70ED" w:rsidRPr="00AD70ED" w:rsidRDefault="00AD70ED" w:rsidP="00D268ED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 xml:space="preserve">RAZDJEL 020 GLAVA </w:t>
            </w:r>
            <w:r w:rsidR="00D268ED">
              <w:rPr>
                <w:rFonts w:ascii="Times New Roman" w:hAnsi="Times New Roman" w:cs="Times New Roman"/>
                <w:b/>
              </w:rPr>
              <w:t>020</w:t>
            </w:r>
            <w:r w:rsidRPr="00AD70ED">
              <w:rPr>
                <w:rFonts w:ascii="Times New Roman" w:hAnsi="Times New Roman" w:cs="Times New Roman"/>
                <w:b/>
              </w:rPr>
              <w:t>10 UPRAVNI ODJEL ZA RAZVOJ 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268ED" w:rsidP="00211BF4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09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b/>
                <w:sz w:val="24"/>
                <w:szCs w:val="24"/>
              </w:rPr>
              <w:t>230.459,34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915CFF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474,14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AD70ED" w:rsidRPr="00AD70ED" w:rsidRDefault="00D809AB" w:rsidP="00915CFF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003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933,48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97601F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RAZVOJ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GRADA 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268ED" w:rsidP="006234BE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0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681,34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6234BE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94B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B94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34BE">
              <w:rPr>
                <w:rFonts w:ascii="Times New Roman" w:hAnsi="Times New Roman" w:cs="Times New Roman"/>
                <w:sz w:val="24"/>
                <w:szCs w:val="24"/>
              </w:rPr>
              <w:t>358,30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915CFF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915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sz w:val="24"/>
                <w:szCs w:val="24"/>
              </w:rPr>
              <w:t>039,64</w:t>
            </w:r>
          </w:p>
        </w:tc>
      </w:tr>
      <w:tr w:rsidR="003A2888" w:rsidTr="00244D76">
        <w:tc>
          <w:tcPr>
            <w:tcW w:w="194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GRADSKA RAZVOJNA AGENCIJA</w:t>
            </w:r>
          </w:p>
          <w:p w:rsidR="00D73509" w:rsidRPr="00D73509" w:rsidRDefault="00D7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SLATINE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268ED" w:rsidP="00D809AB">
            <w:pPr>
              <w:pStyle w:val="DecimalAligne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9AB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D73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>115,84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</w:tcPr>
          <w:p w:rsidR="0097601F" w:rsidRPr="00D73509" w:rsidRDefault="00D809AB" w:rsidP="00211BF4">
            <w:pPr>
              <w:pStyle w:val="DecimalAlign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11BF4">
              <w:rPr>
                <w:rFonts w:ascii="Times New Roman" w:hAnsi="Times New Roman" w:cs="Times New Roman"/>
                <w:sz w:val="24"/>
                <w:szCs w:val="24"/>
              </w:rPr>
              <w:t xml:space="preserve"> 181.893,84</w:t>
            </w:r>
          </w:p>
        </w:tc>
      </w:tr>
      <w:tr w:rsidR="00D73509" w:rsidRPr="00AD70ED" w:rsidTr="00244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9" w:type="pct"/>
            <w:noWrap/>
          </w:tcPr>
          <w:p w:rsidR="0097601F" w:rsidRPr="00AD70ED" w:rsidRDefault="0097601F" w:rsidP="00D73509">
            <w:pPr>
              <w:rPr>
                <w:rFonts w:ascii="Times New Roman" w:hAnsi="Times New Roman" w:cs="Times New Roman"/>
                <w:b/>
              </w:rPr>
            </w:pPr>
            <w:r w:rsidRPr="00AD70ED">
              <w:rPr>
                <w:rFonts w:ascii="Times New Roman" w:hAnsi="Times New Roman" w:cs="Times New Roman"/>
                <w:b/>
              </w:rPr>
              <w:t>U</w:t>
            </w:r>
            <w:r w:rsidR="00D73509" w:rsidRPr="00AD70ED">
              <w:rPr>
                <w:rFonts w:ascii="Times New Roman" w:hAnsi="Times New Roman" w:cs="Times New Roman"/>
                <w:b/>
              </w:rPr>
              <w:t>KUPNO</w:t>
            </w:r>
          </w:p>
        </w:tc>
        <w:tc>
          <w:tcPr>
            <w:tcW w:w="903" w:type="pct"/>
            <w:gridSpan w:val="2"/>
          </w:tcPr>
          <w:p w:rsidR="0097601F" w:rsidRPr="00AD70ED" w:rsidRDefault="00D809AB" w:rsidP="00D809AB">
            <w:pPr>
              <w:pStyle w:val="DecimalAligned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572,56</w:t>
            </w:r>
            <w:r w:rsidR="003A2888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D70ED" w:rsidRPr="00AD7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88" w:type="pct"/>
          </w:tcPr>
          <w:p w:rsidR="0097601F" w:rsidRPr="00AD70ED" w:rsidRDefault="00D809AB" w:rsidP="00915CFF">
            <w:pPr>
              <w:pStyle w:val="DecimalAligne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660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517,31</w:t>
            </w:r>
          </w:p>
        </w:tc>
        <w:tc>
          <w:tcPr>
            <w:tcW w:w="960" w:type="pct"/>
          </w:tcPr>
          <w:p w:rsidR="0097601F" w:rsidRPr="00AD70ED" w:rsidRDefault="00D809AB" w:rsidP="00915CFF">
            <w:pPr>
              <w:pStyle w:val="DecimalAligne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7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  <w:r w:rsidR="00D26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CFF">
              <w:rPr>
                <w:rFonts w:ascii="Times New Roman" w:hAnsi="Times New Roman" w:cs="Times New Roman"/>
                <w:b/>
                <w:sz w:val="24"/>
                <w:szCs w:val="24"/>
              </w:rPr>
              <w:t>089,87</w:t>
            </w:r>
          </w:p>
        </w:tc>
      </w:tr>
    </w:tbl>
    <w:p w:rsidR="00244D76" w:rsidRDefault="00244D76" w:rsidP="00CC3C22">
      <w:pPr>
        <w:pStyle w:val="Naslov2"/>
        <w:jc w:val="center"/>
        <w:rPr>
          <w:b w:val="0"/>
          <w:sz w:val="44"/>
          <w:szCs w:val="44"/>
        </w:rPr>
      </w:pPr>
    </w:p>
    <w:p w:rsidR="00595FA2" w:rsidRDefault="00515551" w:rsidP="0066073E">
      <w:pPr>
        <w:pStyle w:val="Naslov2"/>
        <w:jc w:val="center"/>
      </w:pPr>
      <w:r>
        <w:rPr>
          <w:b w:val="0"/>
          <w:sz w:val="44"/>
          <w:szCs w:val="44"/>
        </w:rPr>
        <w:t xml:space="preserve">NAJZNAČAJNIJE </w:t>
      </w:r>
      <w:r w:rsidR="0066073E">
        <w:rPr>
          <w:b w:val="0"/>
          <w:sz w:val="44"/>
          <w:szCs w:val="44"/>
        </w:rPr>
        <w:t>IZMJENE I DOPUNE</w:t>
      </w:r>
    </w:p>
    <w:p w:rsidR="006931F2" w:rsidRDefault="006931F2" w:rsidP="00595FA2"/>
    <w:p w:rsidR="00AB2350" w:rsidRDefault="00AB2350" w:rsidP="00515551">
      <w:pPr>
        <w:pStyle w:val="StandardWeb"/>
        <w:spacing w:after="0" w:afterAutospacing="0"/>
      </w:pPr>
    </w:p>
    <w:p w:rsidR="00515551" w:rsidRPr="00515551" w:rsidRDefault="0048373D" w:rsidP="00515551">
      <w:pPr>
        <w:pStyle w:val="StandardWeb"/>
        <w:spacing w:after="0" w:afterAutospacing="0"/>
      </w:pPr>
      <w:r>
        <w:t>Naj</w:t>
      </w:r>
      <w:r w:rsidR="00515551">
        <w:t>značajnije</w:t>
      </w:r>
      <w:r>
        <w:t xml:space="preserve"> promjene u prihodima/primicima odnose se na povećanje prihoda od pomoći te namjenskih primitaka od financijske imovine</w:t>
      </w:r>
      <w:r w:rsidR="00515551">
        <w:t xml:space="preserve"> </w:t>
      </w:r>
      <w:r w:rsidR="00AB2350">
        <w:t>i</w:t>
      </w:r>
      <w:r>
        <w:t xml:space="preserve"> zaduživanja Grada kako bi se realizirali projekti i aktivnosti iz programa Komunalna infrastruktura poduzetničkih zona – prometnice poduzetničke zone </w:t>
      </w:r>
      <w:proofErr w:type="spellStart"/>
      <w:r>
        <w:t>Trnovača</w:t>
      </w:r>
      <w:proofErr w:type="spellEnd"/>
      <w:r>
        <w:t xml:space="preserve">, iz programa Kapitalne pomoći za izgradnju komunalnih vodnih građevina </w:t>
      </w:r>
      <w:r w:rsidR="0009102B">
        <w:t>i</w:t>
      </w:r>
      <w:r>
        <w:t xml:space="preserve"> oborinske odvodnje – izgradnja i rekonstrukcija odvodnje poduzetničke zone Turbina 3, </w:t>
      </w:r>
      <w:r w:rsidR="00515551">
        <w:t xml:space="preserve">iz programa Prostorno planska dokumentacija za transformaciju </w:t>
      </w:r>
      <w:r w:rsidR="0072280A">
        <w:t>i</w:t>
      </w:r>
      <w:r w:rsidR="00515551">
        <w:t xml:space="preserve"> izmjenu prostornih planova – planovi nove generacije, iz programa Poticanja razvoja gospodarstva za projekt Slatino, zaželi III!, iz programa Kapitalna ulaganja u objekte u vlasništvu Grada za kapitalni projekt izgradnja područnog vrtića DV Zeko, iz Programa Kapitalna ulaganja u športske </w:t>
      </w:r>
      <w:r w:rsidR="00AB2350">
        <w:t>i</w:t>
      </w:r>
      <w:r w:rsidR="00515551">
        <w:t xml:space="preserve"> rekreacijske objekte za uređenje </w:t>
      </w:r>
      <w:proofErr w:type="spellStart"/>
      <w:r w:rsidR="00515551">
        <w:t>Staroškolskog</w:t>
      </w:r>
      <w:proofErr w:type="spellEnd"/>
      <w:r w:rsidR="00515551">
        <w:t xml:space="preserve"> igrališta te za</w:t>
      </w:r>
      <w:bookmarkStart w:id="0" w:name="_GoBack"/>
      <w:bookmarkEnd w:id="0"/>
      <w:r w:rsidR="00515551">
        <w:t xml:space="preserve"> izgradnju </w:t>
      </w:r>
      <w:r w:rsidR="00515551" w:rsidRPr="00515551">
        <w:t xml:space="preserve">hostela sa sportsko-rekreacijskom dvoranom visoke energetske učinkovitosti. </w:t>
      </w:r>
    </w:p>
    <w:p w:rsidR="00515551" w:rsidRDefault="00515551" w:rsidP="00584298">
      <w:pPr>
        <w:jc w:val="both"/>
      </w:pPr>
    </w:p>
    <w:p w:rsidR="00F62AF4" w:rsidRDefault="00F62AF4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515551" w:rsidRDefault="00515551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p w:rsidR="00F62AF4" w:rsidRPr="004F71B2" w:rsidRDefault="00F62AF4" w:rsidP="00F62AF4">
      <w:pPr>
        <w:spacing w:line="557" w:lineRule="exact"/>
        <w:ind w:left="4030" w:right="-200"/>
        <w:rPr>
          <w:sz w:val="44"/>
          <w:szCs w:val="44"/>
        </w:rPr>
      </w:pPr>
      <w:proofErr w:type="spellStart"/>
      <w:r w:rsidRPr="004F71B2">
        <w:rPr>
          <w:rFonts w:eastAsia="Arial"/>
          <w:color w:val="000000"/>
          <w:sz w:val="44"/>
          <w:szCs w:val="44"/>
        </w:rPr>
        <w:t>Kontakti</w:t>
      </w:r>
      <w:proofErr w:type="spellEnd"/>
      <w:r w:rsidRPr="004F71B2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4F71B2">
        <w:rPr>
          <w:rFonts w:eastAsia="Arial"/>
          <w:color w:val="000000"/>
          <w:sz w:val="44"/>
          <w:szCs w:val="44"/>
        </w:rPr>
        <w:t>i</w:t>
      </w:r>
      <w:proofErr w:type="spellEnd"/>
      <w:r w:rsidRPr="004F71B2">
        <w:rPr>
          <w:rFonts w:eastAsia="Arial"/>
          <w:color w:val="000000"/>
          <w:sz w:val="44"/>
          <w:szCs w:val="44"/>
        </w:rPr>
        <w:t xml:space="preserve"> </w:t>
      </w:r>
      <w:proofErr w:type="spellStart"/>
      <w:r w:rsidRPr="004F71B2">
        <w:rPr>
          <w:rFonts w:eastAsia="Arial"/>
          <w:color w:val="000000"/>
          <w:sz w:val="44"/>
          <w:szCs w:val="44"/>
        </w:rPr>
        <w:t>informacije</w:t>
      </w:r>
      <w:proofErr w:type="spellEnd"/>
    </w:p>
    <w:p w:rsidR="00F62AF4" w:rsidRDefault="00F62AF4" w:rsidP="00F62AF4">
      <w:pPr>
        <w:spacing w:before="734" w:line="449" w:lineRule="exact"/>
        <w:ind w:left="1135" w:right="-200"/>
        <w:jc w:val="both"/>
        <w:rPr>
          <w:rFonts w:eastAsia="Arial"/>
          <w:color w:val="000000"/>
          <w:sz w:val="32"/>
          <w:szCs w:val="32"/>
        </w:rPr>
      </w:pPr>
      <w:proofErr w:type="spellStart"/>
      <w:r>
        <w:rPr>
          <w:rFonts w:eastAsia="Arial"/>
          <w:color w:val="000000"/>
          <w:sz w:val="32"/>
          <w:szCs w:val="32"/>
        </w:rPr>
        <w:t>Cjelovite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Izmjene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i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dopune</w:t>
      </w:r>
      <w:proofErr w:type="spellEnd"/>
      <w:r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P</w:t>
      </w:r>
      <w:r w:rsidRPr="00DE619C">
        <w:rPr>
          <w:rFonts w:eastAsia="Arial"/>
          <w:color w:val="000000"/>
          <w:sz w:val="32"/>
          <w:szCs w:val="32"/>
        </w:rPr>
        <w:t>rora</w:t>
      </w:r>
      <w:r w:rsidRPr="00DE619C">
        <w:rPr>
          <w:color w:val="000000"/>
          <w:sz w:val="32"/>
          <w:szCs w:val="32"/>
        </w:rPr>
        <w:t>č</w:t>
      </w:r>
      <w:r w:rsidRPr="00DE619C">
        <w:rPr>
          <w:rFonts w:eastAsia="Arial"/>
          <w:color w:val="000000"/>
          <w:sz w:val="32"/>
          <w:szCs w:val="32"/>
        </w:rPr>
        <w:t>un</w:t>
      </w:r>
      <w:r>
        <w:rPr>
          <w:rFonts w:eastAsia="Arial"/>
          <w:color w:val="000000"/>
          <w:sz w:val="32"/>
          <w:szCs w:val="32"/>
        </w:rPr>
        <w:t>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javno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>
        <w:rPr>
          <w:rFonts w:eastAsia="Arial"/>
          <w:color w:val="000000"/>
          <w:sz w:val="32"/>
          <w:szCs w:val="32"/>
        </w:rPr>
        <w:t>su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objavljen</w:t>
      </w:r>
      <w:r>
        <w:rPr>
          <w:rFonts w:eastAsia="Arial"/>
          <w:color w:val="000000"/>
          <w:sz w:val="32"/>
          <w:szCs w:val="32"/>
        </w:rPr>
        <w:t>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color w:val="000000"/>
          <w:sz w:val="32"/>
          <w:szCs w:val="32"/>
        </w:rPr>
        <w:t xml:space="preserve"> internet </w:t>
      </w:r>
      <w:proofErr w:type="spellStart"/>
      <w:r w:rsidRPr="00DE619C">
        <w:rPr>
          <w:rFonts w:eastAsia="Arial"/>
          <w:color w:val="000000"/>
          <w:sz w:val="32"/>
          <w:szCs w:val="32"/>
        </w:rPr>
        <w:t>stranici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hyperlink r:id="rId14" w:history="1">
        <w:r w:rsidRPr="00DE619C">
          <w:rPr>
            <w:rStyle w:val="Hiperveza"/>
            <w:rFonts w:eastAsia="Arial"/>
            <w:sz w:val="32"/>
            <w:szCs w:val="32"/>
          </w:rPr>
          <w:t>www.slatina.hr</w:t>
        </w:r>
      </w:hyperlink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u </w:t>
      </w:r>
      <w:proofErr w:type="spellStart"/>
      <w:r w:rsidRPr="00DE619C">
        <w:rPr>
          <w:rFonts w:eastAsia="Arial"/>
          <w:color w:val="000000"/>
          <w:sz w:val="32"/>
          <w:szCs w:val="32"/>
        </w:rPr>
        <w:t>Službenom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glasniku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Grada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Slatine</w:t>
      </w:r>
      <w:proofErr w:type="spellEnd"/>
      <w:r w:rsidRPr="00DE619C">
        <w:rPr>
          <w:rFonts w:eastAsia="Arial"/>
          <w:color w:val="000000"/>
          <w:sz w:val="32"/>
          <w:szCs w:val="32"/>
        </w:rPr>
        <w:t>.</w:t>
      </w:r>
    </w:p>
    <w:p w:rsidR="00F62AF4" w:rsidRPr="000815D2" w:rsidRDefault="00F62AF4" w:rsidP="00F62AF4">
      <w:pPr>
        <w:spacing w:line="449" w:lineRule="exact"/>
        <w:ind w:left="1135" w:right="-200"/>
        <w:jc w:val="both"/>
        <w:rPr>
          <w:rFonts w:eastAsia="Arial"/>
          <w:color w:val="000000"/>
        </w:rPr>
      </w:pPr>
    </w:p>
    <w:p w:rsidR="00F62AF4" w:rsidRDefault="00F62AF4" w:rsidP="00F62AF4">
      <w:pPr>
        <w:spacing w:line="447" w:lineRule="exact"/>
        <w:ind w:right="-200"/>
        <w:rPr>
          <w:rFonts w:eastAsia="Arial"/>
          <w:color w:val="009999"/>
          <w:sz w:val="32"/>
          <w:szCs w:val="32"/>
        </w:rPr>
      </w:pPr>
      <w:r w:rsidRPr="00DE619C">
        <w:rPr>
          <w:rFonts w:eastAsia="Arial"/>
          <w:color w:val="000000"/>
          <w:sz w:val="32"/>
          <w:szCs w:val="32"/>
        </w:rPr>
        <w:t xml:space="preserve">           </w:t>
      </w:r>
      <w:r>
        <w:rPr>
          <w:rFonts w:eastAsia="Arial"/>
          <w:color w:val="000000"/>
          <w:sz w:val="32"/>
          <w:szCs w:val="32"/>
        </w:rPr>
        <w:t xml:space="preserve">   </w:t>
      </w:r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Za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sva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pitanja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, </w:t>
      </w:r>
      <w:proofErr w:type="spellStart"/>
      <w:r w:rsidRPr="00DE619C">
        <w:rPr>
          <w:rFonts w:eastAsia="Arial"/>
          <w:color w:val="000000"/>
          <w:sz w:val="32"/>
          <w:szCs w:val="32"/>
        </w:rPr>
        <w:t>primjedbe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prijedloge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možete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r w:rsidRPr="00DE619C">
        <w:rPr>
          <w:rFonts w:eastAsia="Arial"/>
          <w:color w:val="000000"/>
          <w:sz w:val="32"/>
          <w:szCs w:val="32"/>
        </w:rPr>
        <w:t>nam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se </w:t>
      </w:r>
      <w:proofErr w:type="spellStart"/>
      <w:r w:rsidRPr="00DE619C">
        <w:rPr>
          <w:rFonts w:eastAsia="Arial"/>
          <w:color w:val="000000"/>
          <w:sz w:val="32"/>
          <w:szCs w:val="32"/>
        </w:rPr>
        <w:t>obratiti</w:t>
      </w:r>
      <w:proofErr w:type="spellEnd"/>
      <w:r w:rsidRPr="00DE619C">
        <w:rPr>
          <w:rFonts w:eastAsia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DE619C">
        <w:rPr>
          <w:rFonts w:eastAsia="Arial"/>
          <w:color w:val="000000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color w:val="000000"/>
          <w:sz w:val="32"/>
          <w:szCs w:val="32"/>
        </w:rPr>
        <w:t xml:space="preserve"> e-mail:</w:t>
      </w:r>
      <w:r w:rsidRPr="00DE619C">
        <w:rPr>
          <w:rFonts w:eastAsia="Arial"/>
          <w:color w:val="009999"/>
          <w:sz w:val="32"/>
          <w:szCs w:val="32"/>
        </w:rPr>
        <w:t xml:space="preserve">              </w:t>
      </w:r>
      <w:r>
        <w:rPr>
          <w:rFonts w:eastAsia="Arial"/>
          <w:color w:val="009999"/>
          <w:sz w:val="32"/>
          <w:szCs w:val="32"/>
        </w:rPr>
        <w:t xml:space="preserve">             </w:t>
      </w:r>
    </w:p>
    <w:p w:rsidR="00F62AF4" w:rsidRDefault="00F62AF4" w:rsidP="00F62AF4">
      <w:pPr>
        <w:spacing w:line="447" w:lineRule="exact"/>
        <w:ind w:right="-200"/>
        <w:rPr>
          <w:rFonts w:eastAsia="Arial"/>
          <w:sz w:val="32"/>
          <w:szCs w:val="32"/>
        </w:rPr>
      </w:pPr>
      <w:r>
        <w:rPr>
          <w:rFonts w:eastAsia="Arial"/>
          <w:color w:val="009999"/>
          <w:sz w:val="32"/>
          <w:szCs w:val="32"/>
        </w:rPr>
        <w:t xml:space="preserve">               </w:t>
      </w:r>
      <w:hyperlink r:id="rId15" w:history="1">
        <w:r w:rsidRPr="00DE619C">
          <w:rPr>
            <w:rStyle w:val="Hiperveza"/>
            <w:rFonts w:eastAsia="Arial"/>
            <w:sz w:val="32"/>
            <w:szCs w:val="32"/>
          </w:rPr>
          <w:t>gradska.uprava@slatina.hr</w:t>
        </w:r>
      </w:hyperlink>
      <w:r w:rsidRPr="000815D2">
        <w:rPr>
          <w:rFonts w:eastAsia="Arial"/>
          <w:color w:val="002060"/>
          <w:sz w:val="32"/>
          <w:szCs w:val="32"/>
        </w:rPr>
        <w:t xml:space="preserve">, </w:t>
      </w:r>
      <w:proofErr w:type="spellStart"/>
      <w:proofErr w:type="gramStart"/>
      <w:r w:rsidRPr="00DE619C">
        <w:rPr>
          <w:rFonts w:eastAsia="Arial"/>
          <w:sz w:val="32"/>
          <w:szCs w:val="32"/>
        </w:rPr>
        <w:t>na</w:t>
      </w:r>
      <w:proofErr w:type="spellEnd"/>
      <w:proofErr w:type="gram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telefon</w:t>
      </w:r>
      <w:proofErr w:type="spellEnd"/>
      <w:r w:rsidRPr="00DE619C">
        <w:rPr>
          <w:rFonts w:eastAsia="Arial"/>
          <w:sz w:val="32"/>
          <w:szCs w:val="32"/>
        </w:rPr>
        <w:t xml:space="preserve">: 033/551-357, telefax: 033/551-143 </w:t>
      </w:r>
    </w:p>
    <w:p w:rsidR="00F62AF4" w:rsidRDefault="00F62AF4" w:rsidP="00F62AF4">
      <w:pPr>
        <w:spacing w:line="447" w:lineRule="exact"/>
        <w:ind w:right="-200"/>
      </w:pPr>
      <w:r w:rsidRPr="00DE619C">
        <w:rPr>
          <w:rFonts w:eastAsia="Arial"/>
          <w:sz w:val="32"/>
          <w:szCs w:val="32"/>
        </w:rPr>
        <w:t xml:space="preserve">               </w:t>
      </w:r>
      <w:proofErr w:type="spellStart"/>
      <w:proofErr w:type="gramStart"/>
      <w:r w:rsidRPr="00DE619C">
        <w:rPr>
          <w:rFonts w:eastAsia="Arial"/>
          <w:sz w:val="32"/>
          <w:szCs w:val="32"/>
        </w:rPr>
        <w:t>ili</w:t>
      </w:r>
      <w:proofErr w:type="spellEnd"/>
      <w:proofErr w:type="gram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pisati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na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adresu</w:t>
      </w:r>
      <w:proofErr w:type="spellEnd"/>
      <w:r w:rsidRPr="00DE619C">
        <w:rPr>
          <w:rFonts w:eastAsia="Arial"/>
          <w:sz w:val="32"/>
          <w:szCs w:val="32"/>
        </w:rPr>
        <w:t xml:space="preserve">: GRAD SLATINA, </w:t>
      </w:r>
      <w:proofErr w:type="spellStart"/>
      <w:r w:rsidRPr="00DE619C">
        <w:rPr>
          <w:rFonts w:eastAsia="Arial"/>
          <w:sz w:val="32"/>
          <w:szCs w:val="32"/>
        </w:rPr>
        <w:t>Trg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svetog</w:t>
      </w:r>
      <w:proofErr w:type="spellEnd"/>
      <w:r w:rsidRPr="00DE619C">
        <w:rPr>
          <w:rFonts w:eastAsia="Arial"/>
          <w:sz w:val="32"/>
          <w:szCs w:val="32"/>
        </w:rPr>
        <w:t xml:space="preserve"> </w:t>
      </w:r>
      <w:proofErr w:type="spellStart"/>
      <w:r w:rsidRPr="00DE619C">
        <w:rPr>
          <w:rFonts w:eastAsia="Arial"/>
          <w:sz w:val="32"/>
          <w:szCs w:val="32"/>
        </w:rPr>
        <w:t>Josipa</w:t>
      </w:r>
      <w:proofErr w:type="spellEnd"/>
      <w:r w:rsidRPr="00DE619C">
        <w:rPr>
          <w:rFonts w:eastAsia="Arial"/>
          <w:sz w:val="32"/>
          <w:szCs w:val="32"/>
        </w:rPr>
        <w:t xml:space="preserve"> 10, 33 520 </w:t>
      </w:r>
      <w:proofErr w:type="spellStart"/>
      <w:r w:rsidRPr="00DE619C">
        <w:rPr>
          <w:rFonts w:eastAsia="Arial"/>
          <w:sz w:val="32"/>
          <w:szCs w:val="32"/>
        </w:rPr>
        <w:t>Slatina</w:t>
      </w:r>
      <w:proofErr w:type="spellEnd"/>
      <w:r>
        <w:rPr>
          <w:rFonts w:eastAsia="Arial"/>
          <w:sz w:val="32"/>
          <w:szCs w:val="32"/>
        </w:rPr>
        <w:t>.</w:t>
      </w:r>
    </w:p>
    <w:p w:rsidR="00F62AF4" w:rsidRDefault="00F62AF4" w:rsidP="00F62AF4">
      <w:pPr>
        <w:jc w:val="both"/>
      </w:pPr>
    </w:p>
    <w:p w:rsidR="00F62AF4" w:rsidRDefault="00F62AF4" w:rsidP="00B20F75">
      <w:pPr>
        <w:jc w:val="both"/>
      </w:pPr>
    </w:p>
    <w:p w:rsidR="00F62AF4" w:rsidRDefault="00F62AF4" w:rsidP="00B20F75">
      <w:pPr>
        <w:jc w:val="both"/>
      </w:pPr>
    </w:p>
    <w:sectPr w:rsidR="00F62AF4">
      <w:footerReference w:type="default" r:id="rId16"/>
      <w:pgSz w:w="16840" w:h="11900"/>
      <w:pgMar w:top="1120" w:right="2087" w:bottom="1906" w:left="2083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56" w:rsidRDefault="00F30956">
      <w:r>
        <w:separator/>
      </w:r>
    </w:p>
  </w:endnote>
  <w:endnote w:type="continuationSeparator" w:id="0">
    <w:p w:rsidR="00F30956" w:rsidRDefault="00F3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3D" w:rsidRPr="000345DA" w:rsidRDefault="0048373D" w:rsidP="000345DA">
    <w:pPr>
      <w:pStyle w:val="Podnoje"/>
      <w:jc w:val="center"/>
    </w:pPr>
    <w:proofErr w:type="spellStart"/>
    <w:r>
      <w:t>Vodič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građane</w:t>
    </w:r>
    <w:proofErr w:type="spellEnd"/>
    <w:r>
      <w:t xml:space="preserve"> </w:t>
    </w:r>
    <w:proofErr w:type="spellStart"/>
    <w:r>
      <w:t>Grada</w:t>
    </w:r>
    <w:proofErr w:type="spellEnd"/>
    <w:r>
      <w:t xml:space="preserve"> </w:t>
    </w:r>
    <w:proofErr w:type="spellStart"/>
    <w:r>
      <w:t>Slatine</w:t>
    </w:r>
    <w:proofErr w:type="spellEnd"/>
    <w:r>
      <w:t xml:space="preserve"> – </w:t>
    </w:r>
    <w:proofErr w:type="spellStart"/>
    <w:r>
      <w:t>Izmjene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dopune</w:t>
    </w:r>
    <w:proofErr w:type="spellEnd"/>
    <w:r>
      <w:t xml:space="preserve"> </w:t>
    </w:r>
    <w:proofErr w:type="spellStart"/>
    <w:r>
      <w:t>Proračuna</w:t>
    </w:r>
    <w:proofErr w:type="spellEnd"/>
    <w:r>
      <w:t xml:space="preserve"> </w:t>
    </w:r>
    <w:proofErr w:type="spellStart"/>
    <w:r>
      <w:t>Grada</w:t>
    </w:r>
    <w:proofErr w:type="spellEnd"/>
    <w:r>
      <w:t xml:space="preserve"> </w:t>
    </w:r>
    <w:proofErr w:type="spellStart"/>
    <w:r>
      <w:t>Slatine</w:t>
    </w:r>
    <w:proofErr w:type="spellEnd"/>
    <w:r>
      <w:t xml:space="preserve"> </w:t>
    </w:r>
    <w:proofErr w:type="spellStart"/>
    <w:r>
      <w:t>za</w:t>
    </w:r>
    <w:proofErr w:type="spellEnd"/>
    <w:r>
      <w:t xml:space="preserve"> 2024. </w:t>
    </w:r>
    <w:proofErr w:type="spellStart"/>
    <w:proofErr w:type="gramStart"/>
    <w:r>
      <w:t>godinu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56" w:rsidRDefault="00F30956">
      <w:r>
        <w:separator/>
      </w:r>
    </w:p>
  </w:footnote>
  <w:footnote w:type="continuationSeparator" w:id="0">
    <w:p w:rsidR="00F30956" w:rsidRDefault="00F3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DCEAAD10">
      <w:start w:val="1"/>
      <w:numFmt w:val="bullet"/>
      <w:lvlText w:val="•"/>
      <w:lvlJc w:val="left"/>
      <w:pPr>
        <w:tabs>
          <w:tab w:val="num" w:pos="6739"/>
        </w:tabs>
        <w:ind w:left="6739" w:hanging="6455"/>
      </w:pPr>
      <w:rPr>
        <w:rFonts w:ascii="Arial" w:eastAsia="Arial" w:hAnsi="Arial" w:cs="Arial"/>
        <w:sz w:val="40"/>
      </w:rPr>
    </w:lvl>
    <w:lvl w:ilvl="1" w:tplc="DA5EFE4C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 w:tplc="75DA9F7C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 w:tplc="05B8E11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 w:tplc="875C5C3A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 w:tplc="6F78AC60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 w:tplc="51989DA4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 w:tplc="12CA3414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 w:tplc="7348144A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67C7A7A">
      <w:start w:val="1"/>
      <w:numFmt w:val="bullet"/>
      <w:lvlText w:val="•"/>
      <w:lvlJc w:val="left"/>
      <w:pPr>
        <w:tabs>
          <w:tab w:val="num" w:pos="6727"/>
        </w:tabs>
        <w:ind w:left="6727" w:hanging="6727"/>
      </w:pPr>
      <w:rPr>
        <w:rFonts w:ascii="Arial" w:eastAsia="Arial" w:hAnsi="Arial" w:cs="Arial"/>
        <w:sz w:val="44"/>
      </w:rPr>
    </w:lvl>
    <w:lvl w:ilvl="1" w:tplc="3BDA8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78B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C02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D281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04E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4CC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CE3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10D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4B0EE56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23802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928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264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F61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C09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2EA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BE9F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F275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926CAB8">
      <w:start w:val="1"/>
      <w:numFmt w:val="bullet"/>
      <w:lvlText w:val="•"/>
      <w:lvlJc w:val="left"/>
      <w:pPr>
        <w:tabs>
          <w:tab w:val="num" w:pos="540"/>
        </w:tabs>
        <w:ind w:left="540" w:hanging="540"/>
      </w:pPr>
      <w:rPr>
        <w:rFonts w:ascii="Arial" w:eastAsia="Arial" w:hAnsi="Arial" w:cs="Arial"/>
        <w:sz w:val="30"/>
      </w:rPr>
    </w:lvl>
    <w:lvl w:ilvl="1" w:tplc="8F68E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2C2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040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E03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625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A2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7A70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A82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180882C">
      <w:start w:val="1"/>
      <w:numFmt w:val="bullet"/>
      <w:lvlText w:val="•"/>
      <w:lvlJc w:val="left"/>
      <w:pPr>
        <w:tabs>
          <w:tab w:val="num" w:pos="1325"/>
        </w:tabs>
        <w:ind w:left="1325" w:hanging="1325"/>
      </w:pPr>
      <w:rPr>
        <w:rFonts w:ascii="Arial" w:eastAsia="Arial" w:hAnsi="Arial" w:cs="Arial"/>
        <w:sz w:val="40"/>
      </w:rPr>
    </w:lvl>
    <w:lvl w:ilvl="1" w:tplc="7660D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4EE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04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A6A4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C28E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8E8D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CA50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18C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C2ACC30">
      <w:start w:val="1"/>
      <w:numFmt w:val="bullet"/>
      <w:lvlText w:val="•"/>
      <w:lvlJc w:val="left"/>
      <w:pPr>
        <w:tabs>
          <w:tab w:val="num" w:pos="6897"/>
        </w:tabs>
        <w:ind w:left="6897" w:hanging="6897"/>
      </w:pPr>
      <w:rPr>
        <w:rFonts w:ascii="Arial" w:eastAsia="Arial" w:hAnsi="Arial" w:cs="Arial"/>
        <w:sz w:val="20"/>
      </w:rPr>
    </w:lvl>
    <w:lvl w:ilvl="1" w:tplc="D0C6D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72B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2F9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9AF6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47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384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DA0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4E09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E715C9"/>
    <w:multiLevelType w:val="singleLevel"/>
    <w:tmpl w:val="05840162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457F9B"/>
    <w:multiLevelType w:val="hybridMultilevel"/>
    <w:tmpl w:val="218C814E"/>
    <w:lvl w:ilvl="0" w:tplc="CA222C0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B49C7"/>
    <w:multiLevelType w:val="singleLevel"/>
    <w:tmpl w:val="19B8EC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9543ECD"/>
    <w:multiLevelType w:val="singleLevel"/>
    <w:tmpl w:val="16E849E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CD47CB"/>
    <w:multiLevelType w:val="hybridMultilevel"/>
    <w:tmpl w:val="0C02FED8"/>
    <w:lvl w:ilvl="0" w:tplc="81FAB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DBC"/>
    <w:multiLevelType w:val="hybridMultilevel"/>
    <w:tmpl w:val="462A4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43C2C"/>
    <w:multiLevelType w:val="hybridMultilevel"/>
    <w:tmpl w:val="C9E278D0"/>
    <w:lvl w:ilvl="0" w:tplc="70886C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7B"/>
    <w:rsid w:val="00007086"/>
    <w:rsid w:val="000115F8"/>
    <w:rsid w:val="0002301D"/>
    <w:rsid w:val="00024EA1"/>
    <w:rsid w:val="00026618"/>
    <w:rsid w:val="000345DA"/>
    <w:rsid w:val="00040F21"/>
    <w:rsid w:val="000474F9"/>
    <w:rsid w:val="00050515"/>
    <w:rsid w:val="0005107E"/>
    <w:rsid w:val="00066749"/>
    <w:rsid w:val="000815D2"/>
    <w:rsid w:val="0009102B"/>
    <w:rsid w:val="00095B1D"/>
    <w:rsid w:val="000A0491"/>
    <w:rsid w:val="000A4B14"/>
    <w:rsid w:val="000B3F3A"/>
    <w:rsid w:val="000D1431"/>
    <w:rsid w:val="000E0E6B"/>
    <w:rsid w:val="000E1081"/>
    <w:rsid w:val="000E37B3"/>
    <w:rsid w:val="000E73FD"/>
    <w:rsid w:val="00132B89"/>
    <w:rsid w:val="00134E00"/>
    <w:rsid w:val="00146EF6"/>
    <w:rsid w:val="0016032F"/>
    <w:rsid w:val="00160431"/>
    <w:rsid w:val="0016617F"/>
    <w:rsid w:val="00167311"/>
    <w:rsid w:val="001817CE"/>
    <w:rsid w:val="0018334D"/>
    <w:rsid w:val="0019238E"/>
    <w:rsid w:val="0019712D"/>
    <w:rsid w:val="001B4BA0"/>
    <w:rsid w:val="001B5453"/>
    <w:rsid w:val="001B677F"/>
    <w:rsid w:val="001C71A9"/>
    <w:rsid w:val="001D1768"/>
    <w:rsid w:val="001E308B"/>
    <w:rsid w:val="001E5E65"/>
    <w:rsid w:val="001F0216"/>
    <w:rsid w:val="00202510"/>
    <w:rsid w:val="002073B6"/>
    <w:rsid w:val="00211BF4"/>
    <w:rsid w:val="00212D1A"/>
    <w:rsid w:val="00216C65"/>
    <w:rsid w:val="00217B5D"/>
    <w:rsid w:val="002244F3"/>
    <w:rsid w:val="00232A58"/>
    <w:rsid w:val="0023584D"/>
    <w:rsid w:val="00244D76"/>
    <w:rsid w:val="0025069B"/>
    <w:rsid w:val="00257C65"/>
    <w:rsid w:val="00265A91"/>
    <w:rsid w:val="00273CBD"/>
    <w:rsid w:val="00276140"/>
    <w:rsid w:val="00276F9B"/>
    <w:rsid w:val="00281C18"/>
    <w:rsid w:val="00282AAB"/>
    <w:rsid w:val="002957A4"/>
    <w:rsid w:val="002969D5"/>
    <w:rsid w:val="002B6D4D"/>
    <w:rsid w:val="002C76D9"/>
    <w:rsid w:val="002D587A"/>
    <w:rsid w:val="002E66DA"/>
    <w:rsid w:val="002F241B"/>
    <w:rsid w:val="00300DF7"/>
    <w:rsid w:val="00301647"/>
    <w:rsid w:val="003127FB"/>
    <w:rsid w:val="003146C5"/>
    <w:rsid w:val="00327857"/>
    <w:rsid w:val="00351D0B"/>
    <w:rsid w:val="00352401"/>
    <w:rsid w:val="00361276"/>
    <w:rsid w:val="00367B81"/>
    <w:rsid w:val="003740A8"/>
    <w:rsid w:val="00376CDE"/>
    <w:rsid w:val="0038004C"/>
    <w:rsid w:val="003801A8"/>
    <w:rsid w:val="00382B92"/>
    <w:rsid w:val="00386714"/>
    <w:rsid w:val="00394111"/>
    <w:rsid w:val="003A0DCE"/>
    <w:rsid w:val="003A2888"/>
    <w:rsid w:val="003A3C0C"/>
    <w:rsid w:val="003A3E8D"/>
    <w:rsid w:val="003D1582"/>
    <w:rsid w:val="003D18E5"/>
    <w:rsid w:val="003E5708"/>
    <w:rsid w:val="003E6A3E"/>
    <w:rsid w:val="003F0DBF"/>
    <w:rsid w:val="004131D5"/>
    <w:rsid w:val="00416D64"/>
    <w:rsid w:val="004237EE"/>
    <w:rsid w:val="004309FE"/>
    <w:rsid w:val="0043626A"/>
    <w:rsid w:val="0045101A"/>
    <w:rsid w:val="00463228"/>
    <w:rsid w:val="0046380F"/>
    <w:rsid w:val="00466672"/>
    <w:rsid w:val="0048373D"/>
    <w:rsid w:val="004852BF"/>
    <w:rsid w:val="0048686A"/>
    <w:rsid w:val="00490530"/>
    <w:rsid w:val="0049352C"/>
    <w:rsid w:val="00497BB6"/>
    <w:rsid w:val="004B16F2"/>
    <w:rsid w:val="004B7F4A"/>
    <w:rsid w:val="004C0A97"/>
    <w:rsid w:val="004C4226"/>
    <w:rsid w:val="004C7077"/>
    <w:rsid w:val="004D46A8"/>
    <w:rsid w:val="004E0DBC"/>
    <w:rsid w:val="004E1EB3"/>
    <w:rsid w:val="004E4FFF"/>
    <w:rsid w:val="004F0825"/>
    <w:rsid w:val="004F2589"/>
    <w:rsid w:val="004F4349"/>
    <w:rsid w:val="004F6BA5"/>
    <w:rsid w:val="004F71B2"/>
    <w:rsid w:val="00510C7A"/>
    <w:rsid w:val="005120B0"/>
    <w:rsid w:val="00515551"/>
    <w:rsid w:val="00516286"/>
    <w:rsid w:val="00516FEA"/>
    <w:rsid w:val="005364B1"/>
    <w:rsid w:val="00543217"/>
    <w:rsid w:val="005459A3"/>
    <w:rsid w:val="0055392E"/>
    <w:rsid w:val="00567E71"/>
    <w:rsid w:val="005818FD"/>
    <w:rsid w:val="00584298"/>
    <w:rsid w:val="00595099"/>
    <w:rsid w:val="00595F4F"/>
    <w:rsid w:val="00595FA2"/>
    <w:rsid w:val="005B2D93"/>
    <w:rsid w:val="005C1954"/>
    <w:rsid w:val="005D1C24"/>
    <w:rsid w:val="005D6DF8"/>
    <w:rsid w:val="005D7E5A"/>
    <w:rsid w:val="005E18EC"/>
    <w:rsid w:val="005E2F04"/>
    <w:rsid w:val="005F32B3"/>
    <w:rsid w:val="005F633E"/>
    <w:rsid w:val="00610BC2"/>
    <w:rsid w:val="00617973"/>
    <w:rsid w:val="006234BE"/>
    <w:rsid w:val="00636961"/>
    <w:rsid w:val="00636FD4"/>
    <w:rsid w:val="00641F56"/>
    <w:rsid w:val="0064609B"/>
    <w:rsid w:val="00653BA4"/>
    <w:rsid w:val="00657AD2"/>
    <w:rsid w:val="0066073E"/>
    <w:rsid w:val="006648BC"/>
    <w:rsid w:val="00665452"/>
    <w:rsid w:val="006903B1"/>
    <w:rsid w:val="006931F2"/>
    <w:rsid w:val="006935AB"/>
    <w:rsid w:val="00693AC4"/>
    <w:rsid w:val="00694EBC"/>
    <w:rsid w:val="006A3113"/>
    <w:rsid w:val="006B7F5D"/>
    <w:rsid w:val="006C2AC7"/>
    <w:rsid w:val="006C4859"/>
    <w:rsid w:val="006D5572"/>
    <w:rsid w:val="006E0463"/>
    <w:rsid w:val="006E2742"/>
    <w:rsid w:val="006E6D05"/>
    <w:rsid w:val="006F1F86"/>
    <w:rsid w:val="007142D8"/>
    <w:rsid w:val="0072280A"/>
    <w:rsid w:val="00726C31"/>
    <w:rsid w:val="00726F18"/>
    <w:rsid w:val="00730389"/>
    <w:rsid w:val="0074177F"/>
    <w:rsid w:val="0074263E"/>
    <w:rsid w:val="00745633"/>
    <w:rsid w:val="007478BE"/>
    <w:rsid w:val="0075244F"/>
    <w:rsid w:val="00752EE6"/>
    <w:rsid w:val="00771BBA"/>
    <w:rsid w:val="007763CB"/>
    <w:rsid w:val="00781E6D"/>
    <w:rsid w:val="007967D6"/>
    <w:rsid w:val="007B3084"/>
    <w:rsid w:val="007B64B8"/>
    <w:rsid w:val="007C62A8"/>
    <w:rsid w:val="007D0ED4"/>
    <w:rsid w:val="007D129E"/>
    <w:rsid w:val="007D4857"/>
    <w:rsid w:val="007D585D"/>
    <w:rsid w:val="00810D98"/>
    <w:rsid w:val="008203EC"/>
    <w:rsid w:val="00820E0E"/>
    <w:rsid w:val="00831902"/>
    <w:rsid w:val="00841429"/>
    <w:rsid w:val="00841D75"/>
    <w:rsid w:val="00857399"/>
    <w:rsid w:val="0086021E"/>
    <w:rsid w:val="00874898"/>
    <w:rsid w:val="0088305E"/>
    <w:rsid w:val="008840D6"/>
    <w:rsid w:val="0089011E"/>
    <w:rsid w:val="0089505C"/>
    <w:rsid w:val="008A2C5C"/>
    <w:rsid w:val="008A2F5F"/>
    <w:rsid w:val="008B08DD"/>
    <w:rsid w:val="008B143F"/>
    <w:rsid w:val="008C1F5B"/>
    <w:rsid w:val="008C225E"/>
    <w:rsid w:val="008D3099"/>
    <w:rsid w:val="008E3A55"/>
    <w:rsid w:val="008E6A5A"/>
    <w:rsid w:val="008F5C43"/>
    <w:rsid w:val="00915CFF"/>
    <w:rsid w:val="00917B48"/>
    <w:rsid w:val="00921159"/>
    <w:rsid w:val="00942A5B"/>
    <w:rsid w:val="0094355A"/>
    <w:rsid w:val="009509B0"/>
    <w:rsid w:val="009647F5"/>
    <w:rsid w:val="009649BB"/>
    <w:rsid w:val="0097004C"/>
    <w:rsid w:val="0097601F"/>
    <w:rsid w:val="009919E5"/>
    <w:rsid w:val="00997A47"/>
    <w:rsid w:val="009B2419"/>
    <w:rsid w:val="009C10DC"/>
    <w:rsid w:val="009C21C2"/>
    <w:rsid w:val="009D3620"/>
    <w:rsid w:val="009D5F1E"/>
    <w:rsid w:val="009D7C8E"/>
    <w:rsid w:val="009E20FC"/>
    <w:rsid w:val="009E4FB3"/>
    <w:rsid w:val="009E509A"/>
    <w:rsid w:val="009E6CFA"/>
    <w:rsid w:val="009F6001"/>
    <w:rsid w:val="00A01F71"/>
    <w:rsid w:val="00A04266"/>
    <w:rsid w:val="00A0767F"/>
    <w:rsid w:val="00A103A7"/>
    <w:rsid w:val="00A1086A"/>
    <w:rsid w:val="00A11463"/>
    <w:rsid w:val="00A11D27"/>
    <w:rsid w:val="00A153F9"/>
    <w:rsid w:val="00A15BD6"/>
    <w:rsid w:val="00A25E72"/>
    <w:rsid w:val="00A269FD"/>
    <w:rsid w:val="00A318BE"/>
    <w:rsid w:val="00A41EC5"/>
    <w:rsid w:val="00A4539C"/>
    <w:rsid w:val="00A551B2"/>
    <w:rsid w:val="00A56EDC"/>
    <w:rsid w:val="00A623BF"/>
    <w:rsid w:val="00A63BF5"/>
    <w:rsid w:val="00A67491"/>
    <w:rsid w:val="00A67898"/>
    <w:rsid w:val="00A70713"/>
    <w:rsid w:val="00A7384B"/>
    <w:rsid w:val="00A96A72"/>
    <w:rsid w:val="00A975DC"/>
    <w:rsid w:val="00AB22E0"/>
    <w:rsid w:val="00AB2350"/>
    <w:rsid w:val="00AB2375"/>
    <w:rsid w:val="00AB4FD6"/>
    <w:rsid w:val="00AC28D1"/>
    <w:rsid w:val="00AC321B"/>
    <w:rsid w:val="00AD1B36"/>
    <w:rsid w:val="00AD3C07"/>
    <w:rsid w:val="00AD70ED"/>
    <w:rsid w:val="00AF10F5"/>
    <w:rsid w:val="00B0034E"/>
    <w:rsid w:val="00B02E6C"/>
    <w:rsid w:val="00B05846"/>
    <w:rsid w:val="00B07CDA"/>
    <w:rsid w:val="00B20F75"/>
    <w:rsid w:val="00B21E26"/>
    <w:rsid w:val="00B25477"/>
    <w:rsid w:val="00B303EA"/>
    <w:rsid w:val="00B4271C"/>
    <w:rsid w:val="00B44CE4"/>
    <w:rsid w:val="00B85E68"/>
    <w:rsid w:val="00B94B50"/>
    <w:rsid w:val="00BA0816"/>
    <w:rsid w:val="00BA174C"/>
    <w:rsid w:val="00BA1864"/>
    <w:rsid w:val="00BA367D"/>
    <w:rsid w:val="00BA796B"/>
    <w:rsid w:val="00BB17CA"/>
    <w:rsid w:val="00BB31B1"/>
    <w:rsid w:val="00BB70C7"/>
    <w:rsid w:val="00BC12C7"/>
    <w:rsid w:val="00BC3172"/>
    <w:rsid w:val="00BC474D"/>
    <w:rsid w:val="00BC6600"/>
    <w:rsid w:val="00BC7F5F"/>
    <w:rsid w:val="00BD6BF7"/>
    <w:rsid w:val="00BE2ECC"/>
    <w:rsid w:val="00BF2F66"/>
    <w:rsid w:val="00C00073"/>
    <w:rsid w:val="00C00FA5"/>
    <w:rsid w:val="00C118FA"/>
    <w:rsid w:val="00C16009"/>
    <w:rsid w:val="00C22D7B"/>
    <w:rsid w:val="00C34608"/>
    <w:rsid w:val="00C423AF"/>
    <w:rsid w:val="00C54A38"/>
    <w:rsid w:val="00C61A7B"/>
    <w:rsid w:val="00C62F1C"/>
    <w:rsid w:val="00C75293"/>
    <w:rsid w:val="00C76748"/>
    <w:rsid w:val="00CB1749"/>
    <w:rsid w:val="00CB69C2"/>
    <w:rsid w:val="00CC3C22"/>
    <w:rsid w:val="00CE1BC7"/>
    <w:rsid w:val="00CE4782"/>
    <w:rsid w:val="00CF185E"/>
    <w:rsid w:val="00CF561C"/>
    <w:rsid w:val="00CF5B1C"/>
    <w:rsid w:val="00D01CCD"/>
    <w:rsid w:val="00D109A5"/>
    <w:rsid w:val="00D268ED"/>
    <w:rsid w:val="00D276BA"/>
    <w:rsid w:val="00D3240C"/>
    <w:rsid w:val="00D40B09"/>
    <w:rsid w:val="00D40DD4"/>
    <w:rsid w:val="00D4311D"/>
    <w:rsid w:val="00D43449"/>
    <w:rsid w:val="00D5164F"/>
    <w:rsid w:val="00D572B4"/>
    <w:rsid w:val="00D57E61"/>
    <w:rsid w:val="00D6192C"/>
    <w:rsid w:val="00D72932"/>
    <w:rsid w:val="00D73509"/>
    <w:rsid w:val="00D73649"/>
    <w:rsid w:val="00D809AB"/>
    <w:rsid w:val="00D93D7F"/>
    <w:rsid w:val="00DA5E0B"/>
    <w:rsid w:val="00DA659A"/>
    <w:rsid w:val="00DA767D"/>
    <w:rsid w:val="00DB129C"/>
    <w:rsid w:val="00DC0DB7"/>
    <w:rsid w:val="00DD1C48"/>
    <w:rsid w:val="00DE164E"/>
    <w:rsid w:val="00DE2062"/>
    <w:rsid w:val="00DE619C"/>
    <w:rsid w:val="00DF46F9"/>
    <w:rsid w:val="00E07E5B"/>
    <w:rsid w:val="00E22AFF"/>
    <w:rsid w:val="00E31A08"/>
    <w:rsid w:val="00E40B56"/>
    <w:rsid w:val="00E55359"/>
    <w:rsid w:val="00E5591A"/>
    <w:rsid w:val="00E563EB"/>
    <w:rsid w:val="00E57328"/>
    <w:rsid w:val="00E6384A"/>
    <w:rsid w:val="00E77261"/>
    <w:rsid w:val="00E97C25"/>
    <w:rsid w:val="00EB0F1B"/>
    <w:rsid w:val="00EB3A7B"/>
    <w:rsid w:val="00EB621E"/>
    <w:rsid w:val="00EC5780"/>
    <w:rsid w:val="00EC5F52"/>
    <w:rsid w:val="00EE3152"/>
    <w:rsid w:val="00EE6237"/>
    <w:rsid w:val="00EF583C"/>
    <w:rsid w:val="00EF79DD"/>
    <w:rsid w:val="00F01001"/>
    <w:rsid w:val="00F0441E"/>
    <w:rsid w:val="00F0676E"/>
    <w:rsid w:val="00F116D7"/>
    <w:rsid w:val="00F11C4A"/>
    <w:rsid w:val="00F12801"/>
    <w:rsid w:val="00F16C17"/>
    <w:rsid w:val="00F228EA"/>
    <w:rsid w:val="00F22EA2"/>
    <w:rsid w:val="00F24042"/>
    <w:rsid w:val="00F26970"/>
    <w:rsid w:val="00F30956"/>
    <w:rsid w:val="00F354DB"/>
    <w:rsid w:val="00F37E9D"/>
    <w:rsid w:val="00F4669F"/>
    <w:rsid w:val="00F47922"/>
    <w:rsid w:val="00F503CB"/>
    <w:rsid w:val="00F568F2"/>
    <w:rsid w:val="00F62105"/>
    <w:rsid w:val="00F62AF4"/>
    <w:rsid w:val="00F63381"/>
    <w:rsid w:val="00F6383E"/>
    <w:rsid w:val="00F6493C"/>
    <w:rsid w:val="00F64FA0"/>
    <w:rsid w:val="00F67D21"/>
    <w:rsid w:val="00F7263B"/>
    <w:rsid w:val="00F8378B"/>
    <w:rsid w:val="00F86A37"/>
    <w:rsid w:val="00F9164D"/>
    <w:rsid w:val="00F957C9"/>
    <w:rsid w:val="00F973B9"/>
    <w:rsid w:val="00FB1BD1"/>
    <w:rsid w:val="00FB304F"/>
    <w:rsid w:val="00FB31EB"/>
    <w:rsid w:val="00FB4D3F"/>
    <w:rsid w:val="00FB6E79"/>
    <w:rsid w:val="00FC046F"/>
    <w:rsid w:val="00FC6655"/>
    <w:rsid w:val="00FD4063"/>
    <w:rsid w:val="00FD7041"/>
    <w:rsid w:val="00FD7AF3"/>
    <w:rsid w:val="00FE02C6"/>
    <w:rsid w:val="00FE7576"/>
    <w:rsid w:val="00FF2060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44ED3-DF1A-4FD1-B748-60753F6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4F6BA5"/>
    <w:pPr>
      <w:keepNext/>
      <w:jc w:val="both"/>
      <w:outlineLvl w:val="1"/>
    </w:pPr>
    <w:rPr>
      <w:b/>
      <w:sz w:val="28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6B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28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801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128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801"/>
    <w:rPr>
      <w:sz w:val="24"/>
      <w:szCs w:val="24"/>
    </w:rPr>
  </w:style>
  <w:style w:type="table" w:styleId="Reetkatablice">
    <w:name w:val="Table Grid"/>
    <w:basedOn w:val="Obinatablica"/>
    <w:uiPriority w:val="59"/>
    <w:rsid w:val="00FD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693AC4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7601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97601F"/>
    <w:rPr>
      <w:rFonts w:asciiTheme="minorHAnsi" w:eastAsiaTheme="minorEastAsia" w:hAnsiTheme="minorHAnsi"/>
      <w:sz w:val="20"/>
      <w:szCs w:val="20"/>
      <w:lang w:val="hr-HR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7601F"/>
    <w:rPr>
      <w:rFonts w:asciiTheme="minorHAnsi" w:eastAsiaTheme="minorEastAsia" w:hAnsiTheme="minorHAnsi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97601F"/>
    <w:rPr>
      <w:i/>
      <w:iCs/>
    </w:rPr>
  </w:style>
  <w:style w:type="table" w:styleId="Srednjesjenanje2-Isticanje5">
    <w:name w:val="Medium Shading 2 Accent 5"/>
    <w:basedOn w:val="Obinatablica"/>
    <w:uiPriority w:val="64"/>
    <w:rsid w:val="0097601F"/>
    <w:rPr>
      <w:rFonts w:asciiTheme="minorHAnsi" w:eastAsiaTheme="minorEastAsia" w:hAnsiTheme="minorHAnsi" w:cstheme="minorBidi"/>
      <w:sz w:val="22"/>
      <w:szCs w:val="22"/>
      <w:lang w:val="hr-HR"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rsid w:val="004F6BA5"/>
    <w:rPr>
      <w:b/>
      <w:sz w:val="28"/>
      <w:lang w:val="hr-HR" w:eastAsia="hr-HR"/>
    </w:rPr>
  </w:style>
  <w:style w:type="paragraph" w:styleId="Tijeloteksta3">
    <w:name w:val="Body Text 3"/>
    <w:basedOn w:val="Normal"/>
    <w:link w:val="Tijeloteksta3Char"/>
    <w:rsid w:val="004F6BA5"/>
    <w:pPr>
      <w:jc w:val="center"/>
    </w:pPr>
    <w:rPr>
      <w:rFonts w:ascii="Arial" w:hAnsi="Arial"/>
      <w:b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rsid w:val="004F6BA5"/>
    <w:rPr>
      <w:rFonts w:ascii="Arial" w:hAnsi="Arial"/>
      <w:b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6B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76F9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76F9B"/>
    <w:rPr>
      <w:color w:val="800080" w:themeColor="followed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FB6E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6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x469218">
    <w:name w:val="box_469218"/>
    <w:basedOn w:val="Normal"/>
    <w:rsid w:val="005F32B3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5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58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51555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gradska.uprava@slatina.hr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latina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/>
              <a:t>Usporedba planiranih prihoda/primitaka</a:t>
            </a:r>
            <a:r>
              <a:rPr lang="hr-HR" b="1" baseline="0"/>
              <a:t>  i rashoda/izdataka</a:t>
            </a:r>
            <a:r>
              <a:rPr lang="hr-HR" b="1"/>
              <a:t> </a:t>
            </a:r>
          </a:p>
        </c:rich>
      </c:tx>
      <c:layout>
        <c:manualLayout>
          <c:xMode val="edge"/>
          <c:yMode val="edge"/>
          <c:x val="0.22013888888888888"/>
          <c:y val="2.79232111692844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prihodi i primici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Plan 2024.</c:v>
                </c:pt>
                <c:pt idx="1">
                  <c:v>Izmjene i dopune plana za 2024.</c:v>
                </c:pt>
              </c:strCache>
            </c:strRef>
          </c:cat>
          <c:val>
            <c:numRef>
              <c:f>List1!$B$2:$B$3</c:f>
              <c:numCache>
                <c:formatCode>#,##0.00\ [$€-41A]</c:formatCode>
                <c:ptCount val="2"/>
                <c:pt idx="0">
                  <c:v>19777006.370000001</c:v>
                </c:pt>
                <c:pt idx="1">
                  <c:v>24706959.550000001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Ukupni rashodi i izdaci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List1!$A$2:$A$3</c:f>
              <c:strCache>
                <c:ptCount val="2"/>
                <c:pt idx="0">
                  <c:v>Plan 2024.</c:v>
                </c:pt>
                <c:pt idx="1">
                  <c:v>Izmjene i dopune plana za 2024.</c:v>
                </c:pt>
              </c:strCache>
            </c:strRef>
          </c:cat>
          <c:val>
            <c:numRef>
              <c:f>List1!$C$2:$C$3</c:f>
              <c:numCache>
                <c:formatCode>#,##0.00\ [$€-41A]</c:formatCode>
                <c:ptCount val="2"/>
                <c:pt idx="0">
                  <c:v>20195572.559999999</c:v>
                </c:pt>
                <c:pt idx="1">
                  <c:v>24364089.870000001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989396144"/>
        <c:axId val="-989400496"/>
        <c:axId val="0"/>
      </c:bar3DChart>
      <c:catAx>
        <c:axId val="-98939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400496"/>
        <c:crosses val="autoZero"/>
        <c:auto val="1"/>
        <c:lblAlgn val="ctr"/>
        <c:lblOffset val="100"/>
        <c:noMultiLvlLbl val="0"/>
      </c:catAx>
      <c:valAx>
        <c:axId val="-98940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€-41A]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39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259895662648468"/>
          <c:y val="8.6767929578220979E-2"/>
          <c:w val="0.83722428397237747"/>
          <c:h val="0.427522161682067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Opći prihodi i primici za decentral. funkcije vatrogastva</c:v>
                </c:pt>
                <c:pt idx="2">
                  <c:v>Prihod od turističke pristojbe</c:v>
                </c:pt>
                <c:pt idx="3">
                  <c:v>Prihodi od spomeničke rente</c:v>
                </c:pt>
                <c:pt idx="4">
                  <c:v>Ostali prihodi za posebne namjene</c:v>
                </c:pt>
                <c:pt idx="5">
                  <c:v>Prihodi od komunalnog doprinosa</c:v>
                </c:pt>
                <c:pt idx="6">
                  <c:v>Prihodi od šumskog doprinosa</c:v>
                </c:pt>
                <c:pt idx="7">
                  <c:v>Prihodi od ozakonjenja nezakonito izgrađenih građevina</c:v>
                </c:pt>
                <c:pt idx="8">
                  <c:v>Prihodi za posebne namjene proračunskih korisnika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Donacije ošasne imovine</c:v>
                </c:pt>
                <c:pt idx="15">
                  <c:v>Prihodi od prodaje nefinancijske imovine</c:v>
                </c:pt>
                <c:pt idx="16">
                  <c:v>Prihodi od prodaje stanova sa stanarskim pravom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List1!$B$2:$B$20</c:f>
              <c:numCache>
                <c:formatCode>#,##0.00\ [$€-41A]</c:formatCode>
                <c:ptCount val="19"/>
                <c:pt idx="0">
                  <c:v>12333666.76</c:v>
                </c:pt>
                <c:pt idx="1">
                  <c:v>369805.69</c:v>
                </c:pt>
                <c:pt idx="2">
                  <c:v>995</c:v>
                </c:pt>
                <c:pt idx="3">
                  <c:v>2654</c:v>
                </c:pt>
                <c:pt idx="4">
                  <c:v>542000</c:v>
                </c:pt>
                <c:pt idx="5">
                  <c:v>79817</c:v>
                </c:pt>
                <c:pt idx="6">
                  <c:v>200000</c:v>
                </c:pt>
                <c:pt idx="7">
                  <c:v>3000</c:v>
                </c:pt>
                <c:pt idx="8">
                  <c:v>50084</c:v>
                </c:pt>
                <c:pt idx="9">
                  <c:v>1945595</c:v>
                </c:pt>
                <c:pt idx="10">
                  <c:v>101347</c:v>
                </c:pt>
                <c:pt idx="11">
                  <c:v>2097671.92</c:v>
                </c:pt>
                <c:pt idx="12">
                  <c:v>159498</c:v>
                </c:pt>
                <c:pt idx="13">
                  <c:v>14618</c:v>
                </c:pt>
                <c:pt idx="14">
                  <c:v>0</c:v>
                </c:pt>
                <c:pt idx="15">
                  <c:v>104000</c:v>
                </c:pt>
                <c:pt idx="16">
                  <c:v>14600</c:v>
                </c:pt>
                <c:pt idx="17">
                  <c:v>1327228</c:v>
                </c:pt>
                <c:pt idx="18">
                  <c:v>430426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Izmjene i dopune plana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List1!$A$2:$A$20</c:f>
              <c:strCache>
                <c:ptCount val="19"/>
                <c:pt idx="0">
                  <c:v>Opći prihodi i primici</c:v>
                </c:pt>
                <c:pt idx="1">
                  <c:v>Opći prihodi i primici za decentral. funkcije vatrogastva</c:v>
                </c:pt>
                <c:pt idx="2">
                  <c:v>Prihod od turističke pristojbe</c:v>
                </c:pt>
                <c:pt idx="3">
                  <c:v>Prihodi od spomeničke rente</c:v>
                </c:pt>
                <c:pt idx="4">
                  <c:v>Ostali prihodi za posebne namjene</c:v>
                </c:pt>
                <c:pt idx="5">
                  <c:v>Prihodi od komunalnog doprinosa</c:v>
                </c:pt>
                <c:pt idx="6">
                  <c:v>Prihodi od šumskog doprinosa</c:v>
                </c:pt>
                <c:pt idx="7">
                  <c:v>Prihodi od ozakonjenja nezakonito izgrađenih građevina</c:v>
                </c:pt>
                <c:pt idx="8">
                  <c:v>Prihodi za posebne namjene proračunskih korisnika</c:v>
                </c:pt>
                <c:pt idx="9">
                  <c:v>Ostale pomoći</c:v>
                </c:pt>
                <c:pt idx="10">
                  <c:v>Ostale pomoći proračunskih korisnika</c:v>
                </c:pt>
                <c:pt idx="11">
                  <c:v>Pomoći Gradu temeljem prijenosa EU sredstava</c:v>
                </c:pt>
                <c:pt idx="12">
                  <c:v>Pomoći EU proračunski korisnici</c:v>
                </c:pt>
                <c:pt idx="13">
                  <c:v>Donacije proračunskih korisnika</c:v>
                </c:pt>
                <c:pt idx="14">
                  <c:v>Donacije ošasne imovine</c:v>
                </c:pt>
                <c:pt idx="15">
                  <c:v>Prihodi od prodaje nefinancijske imovine</c:v>
                </c:pt>
                <c:pt idx="16">
                  <c:v>Prihodi od prodaje stanova sa stanarskim pravom</c:v>
                </c:pt>
                <c:pt idx="17">
                  <c:v>Namjenski primici od financijske imovinei zaduživanje Grada</c:v>
                </c:pt>
                <c:pt idx="18">
                  <c:v>Prihodi proračunskih korisnika</c:v>
                </c:pt>
              </c:strCache>
            </c:strRef>
          </c:cat>
          <c:val>
            <c:numRef>
              <c:f>List1!$C$2:$C$20</c:f>
              <c:numCache>
                <c:formatCode>#,##0.00\ [$€-41A]</c:formatCode>
                <c:ptCount val="19"/>
                <c:pt idx="0">
                  <c:v>12656877.310000001</c:v>
                </c:pt>
                <c:pt idx="1">
                  <c:v>393007.83</c:v>
                </c:pt>
                <c:pt idx="2">
                  <c:v>995</c:v>
                </c:pt>
                <c:pt idx="3">
                  <c:v>2900</c:v>
                </c:pt>
                <c:pt idx="4">
                  <c:v>549720</c:v>
                </c:pt>
                <c:pt idx="5">
                  <c:v>79817</c:v>
                </c:pt>
                <c:pt idx="6">
                  <c:v>170000</c:v>
                </c:pt>
                <c:pt idx="7">
                  <c:v>3000</c:v>
                </c:pt>
                <c:pt idx="8">
                  <c:v>100459</c:v>
                </c:pt>
                <c:pt idx="9">
                  <c:v>2314619.2000000002</c:v>
                </c:pt>
                <c:pt idx="10">
                  <c:v>128807</c:v>
                </c:pt>
                <c:pt idx="11">
                  <c:v>2171341.67</c:v>
                </c:pt>
                <c:pt idx="12">
                  <c:v>6872</c:v>
                </c:pt>
                <c:pt idx="13">
                  <c:v>22440</c:v>
                </c:pt>
                <c:pt idx="14">
                  <c:v>1395.02</c:v>
                </c:pt>
                <c:pt idx="15">
                  <c:v>105551.16</c:v>
                </c:pt>
                <c:pt idx="16">
                  <c:v>14600</c:v>
                </c:pt>
                <c:pt idx="17">
                  <c:v>5553055.5199999996</c:v>
                </c:pt>
                <c:pt idx="18">
                  <c:v>431501.84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89404304"/>
        <c:axId val="-989394512"/>
      </c:barChart>
      <c:catAx>
        <c:axId val="-98940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394512"/>
        <c:crosses val="autoZero"/>
        <c:auto val="1"/>
        <c:lblAlgn val="ctr"/>
        <c:lblOffset val="100"/>
        <c:noMultiLvlLbl val="0"/>
      </c:catAx>
      <c:valAx>
        <c:axId val="-989394512"/>
        <c:scaling>
          <c:orientation val="minMax"/>
          <c:max val="130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\ [$EUR]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404304"/>
        <c:crosses val="autoZero"/>
        <c:crossBetween val="between"/>
        <c:majorUnit val="1000000"/>
        <c:minorUnit val="10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9953649410845E-2"/>
          <c:y val="3.5738831615120273E-2"/>
          <c:w val="0.89549762662645893"/>
          <c:h val="0.69210011635143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</c:strCache>
            </c:strRef>
          </c:cat>
          <c:val>
            <c:numRef>
              <c:f>List1!$B$2:$B$11</c:f>
              <c:numCache>
                <c:formatCode>_-* #,##0.00\ [$€-1]_-;\-* #,##0.00\ [$€-1]_-;_-* "-"??\ [$€-1]_-;_-@_-</c:formatCode>
                <c:ptCount val="10"/>
                <c:pt idx="0">
                  <c:v>3924813.37</c:v>
                </c:pt>
                <c:pt idx="1">
                  <c:v>3928629.23</c:v>
                </c:pt>
                <c:pt idx="2">
                  <c:v>32735</c:v>
                </c:pt>
                <c:pt idx="3">
                  <c:v>288525</c:v>
                </c:pt>
                <c:pt idx="4">
                  <c:v>137289.5</c:v>
                </c:pt>
                <c:pt idx="5">
                  <c:v>591500</c:v>
                </c:pt>
                <c:pt idx="6">
                  <c:v>1281430.28</c:v>
                </c:pt>
                <c:pt idx="7">
                  <c:v>70500</c:v>
                </c:pt>
                <c:pt idx="8">
                  <c:v>9276178.2799999993</c:v>
                </c:pt>
                <c:pt idx="9">
                  <c:v>663971.9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Izmjene i dopune plana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 dug.imovine</c:v>
                </c:pt>
                <c:pt idx="8">
                  <c:v>Rashodi za nabavu proizvedene dug. Imovine</c:v>
                </c:pt>
                <c:pt idx="9">
                  <c:v>Rashodi za dodatna ulaganja u nefinancijsku imovinu</c:v>
                </c:pt>
              </c:strCache>
            </c:strRef>
          </c:cat>
          <c:val>
            <c:numRef>
              <c:f>List1!$C$2:$C$11</c:f>
              <c:numCache>
                <c:formatCode>_-* #,##0.00\ [$€-1]_-;\-* #,##0.00\ [$€-1]_-;_-* "-"??\ [$€-1]_-;_-@_-</c:formatCode>
                <c:ptCount val="10"/>
                <c:pt idx="0">
                  <c:v>4280939.93</c:v>
                </c:pt>
                <c:pt idx="1">
                  <c:v>4387171.26</c:v>
                </c:pt>
                <c:pt idx="2">
                  <c:v>76398.3</c:v>
                </c:pt>
                <c:pt idx="3">
                  <c:v>307966.65000000002</c:v>
                </c:pt>
                <c:pt idx="4">
                  <c:v>144289.5</c:v>
                </c:pt>
                <c:pt idx="5">
                  <c:v>581500</c:v>
                </c:pt>
                <c:pt idx="6">
                  <c:v>1404953.69</c:v>
                </c:pt>
                <c:pt idx="7">
                  <c:v>84705.919999999998</c:v>
                </c:pt>
                <c:pt idx="8">
                  <c:v>12401030.18</c:v>
                </c:pt>
                <c:pt idx="9">
                  <c:v>695134.44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89404848"/>
        <c:axId val="-989402128"/>
      </c:barChart>
      <c:catAx>
        <c:axId val="-98940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402128"/>
        <c:crossesAt val="0"/>
        <c:auto val="1"/>
        <c:lblAlgn val="ctr"/>
        <c:lblOffset val="100"/>
        <c:noMultiLvlLbl val="0"/>
      </c:catAx>
      <c:valAx>
        <c:axId val="-989402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-989404848"/>
        <c:crosses val="autoZero"/>
        <c:crossBetween val="between"/>
        <c:majorUnit val="1000000"/>
        <c:minorUnit val="2000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rashoda po funcijskoj klasifikaciji kroz Izmjene i dopune Proračuna za 2024.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layout>
                <c:manualLayout>
                  <c:x val="-7.8342442488806605E-2"/>
                  <c:y val="2.92747837658017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49652616952292"/>
                      <c:h val="5.8873119901928429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List1!$A$2:$A$11</c:f>
              <c:strCache>
                <c:ptCount val="10"/>
                <c:pt idx="0">
                  <c:v>Opće javne usluge</c:v>
                </c:pt>
                <c:pt idx="1">
                  <c:v>Obrana</c:v>
                </c:pt>
                <c:pt idx="2">
                  <c:v>Javni red i sigurnost</c:v>
                </c:pt>
                <c:pt idx="3">
                  <c:v>Ekonomaski poslovi</c:v>
                </c:pt>
                <c:pt idx="4">
                  <c:v>Zaštita okoliša</c:v>
                </c:pt>
                <c:pt idx="5">
                  <c:v>Usluge unapređenja stanovanja i zajednice</c:v>
                </c:pt>
                <c:pt idx="6">
                  <c:v>Zdravstvo</c:v>
                </c:pt>
                <c:pt idx="7">
                  <c:v>Rekreacija, kultura i religija</c:v>
                </c:pt>
                <c:pt idx="8">
                  <c:v>Obrazovanje</c:v>
                </c:pt>
                <c:pt idx="9">
                  <c:v>Socijalna zaštita</c:v>
                </c:pt>
              </c:strCache>
            </c:strRef>
          </c:cat>
          <c:val>
            <c:numRef>
              <c:f>List1!$B$2:$B$11</c:f>
              <c:numCache>
                <c:formatCode>0.00%</c:formatCode>
                <c:ptCount val="10"/>
                <c:pt idx="0">
                  <c:v>0.1449</c:v>
                </c:pt>
                <c:pt idx="1">
                  <c:v>1.4E-3</c:v>
                </c:pt>
                <c:pt idx="2">
                  <c:v>4.4200000000000003E-2</c:v>
                </c:pt>
                <c:pt idx="3">
                  <c:v>0.1186</c:v>
                </c:pt>
                <c:pt idx="4">
                  <c:v>0.12859999999999999</c:v>
                </c:pt>
                <c:pt idx="5">
                  <c:v>3.3099999999999997E-2</c:v>
                </c:pt>
                <c:pt idx="6">
                  <c:v>9.7000000000000003E-3</c:v>
                </c:pt>
                <c:pt idx="7">
                  <c:v>0.2084</c:v>
                </c:pt>
                <c:pt idx="8">
                  <c:v>0.27560000000000001</c:v>
                </c:pt>
                <c:pt idx="9">
                  <c:v>3.5499999999999997E-2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18A1-9FB6-4355-8D13-2D8EB37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9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PowerPoint - Vodi\350 za gra\360ane uz Prora\350un 2021. do 2023. godine.ppt.pptx)</vt:lpstr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PowerPoint - Vodi\350 za gra\360ane uz Prora\350un 2021. do 2023. godine.ppt.pptx)</dc:title>
  <dc:creator>vesnah</dc:creator>
  <cp:lastModifiedBy>Mila Margaretić</cp:lastModifiedBy>
  <cp:revision>185</cp:revision>
  <cp:lastPrinted>2023-01-19T07:46:00Z</cp:lastPrinted>
  <dcterms:created xsi:type="dcterms:W3CDTF">2022-01-07T13:41:00Z</dcterms:created>
  <dcterms:modified xsi:type="dcterms:W3CDTF">2024-10-11T09:51:00Z</dcterms:modified>
</cp:coreProperties>
</file>